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919" w:rsidRDefault="008A6538" w:rsidP="00AD19A4">
      <w:pPr>
        <w:tabs>
          <w:tab w:val="left" w:pos="2552"/>
          <w:tab w:val="left" w:pos="2694"/>
        </w:tabs>
        <w:spacing w:before="120"/>
        <w:jc w:val="center"/>
        <w:rPr>
          <w:rFonts w:ascii="Times New Roman" w:hAnsi="Times New Roman" w:cs="Times New Roman"/>
          <w:noProof/>
        </w:rPr>
      </w:pPr>
      <w:bookmarkStart w:id="0" w:name="_GoBack"/>
      <w:bookmarkEnd w:id="0"/>
      <w:r w:rsidRPr="00436D25">
        <w:rPr>
          <w:noProof/>
        </w:rPr>
        <w:drawing>
          <wp:inline distT="0" distB="0" distL="0" distR="0">
            <wp:extent cx="6203950" cy="831850"/>
            <wp:effectExtent l="0" t="0" r="0" b="0"/>
            <wp:docPr id="3" name="Рисунок 1" descr="C:\Users\PR\AppData\Local\Microsoft\Windows\INetCache\Content.Word\logotip_MFC_2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PR\AppData\Local\Microsoft\Windows\INetCache\Content.Word\logotip_MFC_202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0" cy="831850"/>
                    </a:xfrm>
                    <a:prstGeom prst="rect">
                      <a:avLst/>
                    </a:prstGeom>
                    <a:noFill/>
                    <a:ln>
                      <a:noFill/>
                    </a:ln>
                  </pic:spPr>
                </pic:pic>
              </a:graphicData>
            </a:graphic>
          </wp:inline>
        </w:drawing>
      </w:r>
    </w:p>
    <w:p w:rsidR="00791972" w:rsidRPr="00791972" w:rsidRDefault="00791972" w:rsidP="00791972">
      <w:pPr>
        <w:jc w:val="center"/>
        <w:rPr>
          <w:rFonts w:ascii="Times New Roman" w:hAnsi="Times New Roman" w:cs="Times New Roman"/>
          <w:sz w:val="24"/>
          <w:szCs w:val="24"/>
        </w:rPr>
      </w:pPr>
    </w:p>
    <w:p w:rsidR="003C6851" w:rsidRDefault="00791972" w:rsidP="00C4593C">
      <w:pPr>
        <w:jc w:val="center"/>
        <w:rPr>
          <w:rFonts w:ascii="Times New Roman" w:hAnsi="Times New Roman" w:cs="Times New Roman"/>
          <w:b/>
          <w:sz w:val="24"/>
          <w:szCs w:val="24"/>
          <w:lang w:eastAsia="en-US"/>
        </w:rPr>
      </w:pPr>
      <w:r w:rsidRPr="00C10CB4">
        <w:rPr>
          <w:rFonts w:ascii="Times New Roman" w:hAnsi="Times New Roman" w:cs="Times New Roman"/>
          <w:b/>
          <w:bCs/>
          <w:sz w:val="24"/>
          <w:szCs w:val="24"/>
        </w:rPr>
        <w:t xml:space="preserve">Актуальные вопросы применения ОСБУ о порядке составления бухгалтерской (финансовой отчетности) профессиональными участниками рынка ценных бумаг и некоторыми другими типами НФО. </w:t>
      </w:r>
      <w:r w:rsidRPr="00C10CB4">
        <w:rPr>
          <w:rFonts w:ascii="Times New Roman" w:hAnsi="Times New Roman" w:cs="Times New Roman"/>
          <w:b/>
          <w:sz w:val="24"/>
          <w:szCs w:val="24"/>
          <w:lang w:eastAsia="en-US"/>
        </w:rPr>
        <w:t>Актуальные вопросы применения ОСБУ при аудите бухгалтерской отчетности НФО</w:t>
      </w:r>
      <w:bookmarkStart w:id="1" w:name="6-2-32"/>
      <w:bookmarkEnd w:id="1"/>
    </w:p>
    <w:p w:rsidR="00C4593C" w:rsidRPr="00561B95" w:rsidRDefault="00C4593C" w:rsidP="00C4593C">
      <w:pPr>
        <w:jc w:val="center"/>
        <w:rPr>
          <w:rFonts w:ascii="Times New Roman" w:hAnsi="Times New Roman" w:cs="Times New Roman"/>
          <w:b/>
          <w:bCs/>
          <w:i/>
          <w:iCs/>
          <w:sz w:val="24"/>
          <w:szCs w:val="24"/>
        </w:rPr>
      </w:pPr>
    </w:p>
    <w:p w:rsidR="00C4593C" w:rsidRPr="00C62DFE" w:rsidRDefault="00C4593C" w:rsidP="00C4593C">
      <w:pPr>
        <w:keepNext/>
        <w:outlineLvl w:val="0"/>
        <w:rPr>
          <w:rFonts w:ascii="Times New Roman" w:hAnsi="Times New Roman" w:cs="Times New Roman"/>
          <w:b/>
        </w:rPr>
      </w:pPr>
      <w:r w:rsidRPr="00C62DFE">
        <w:rPr>
          <w:rFonts w:ascii="Times New Roman" w:hAnsi="Times New Roman" w:cs="Times New Roman"/>
          <w:b/>
        </w:rPr>
        <w:t xml:space="preserve">Актуальные вопросы применения отраслевого стандарта бухгалтерского учета «порядок составления бухгалтерской (финансовой) отчетности  профессиональных участников рынка ценных бумаг, акционерных инвестиционных фондов, организаторов торговли, центральных контрагентов, клиринговых организаций, специализированных депозитариев инвестиционного фонда, паевого инвестиционного фонда и негосударственного пенсионного фонда, управляющих компаний инвестиционного фонда, бюро кредитных историй, кредитных рейтинговых агентств, страховых брокеров» </w:t>
      </w:r>
    </w:p>
    <w:p w:rsidR="00C4593C" w:rsidRPr="00C62DFE" w:rsidRDefault="00C4593C" w:rsidP="00C4593C">
      <w:pPr>
        <w:spacing w:before="120" w:after="120"/>
        <w:rPr>
          <w:rFonts w:ascii="Times New Roman" w:hAnsi="Times New Roman" w:cs="Times New Roman"/>
          <w:b/>
          <w:color w:val="000000"/>
        </w:rPr>
      </w:pPr>
      <w:r w:rsidRPr="00C62DFE">
        <w:rPr>
          <w:rFonts w:ascii="Times New Roman" w:hAnsi="Times New Roman" w:cs="Times New Roman"/>
          <w:b/>
          <w:color w:val="000000"/>
        </w:rPr>
        <w:t xml:space="preserve">Тема 1. Общие положения </w:t>
      </w:r>
    </w:p>
    <w:p w:rsidR="00C4593C" w:rsidRPr="00C62DFE" w:rsidRDefault="00C4593C" w:rsidP="00C4593C">
      <w:pPr>
        <w:numPr>
          <w:ilvl w:val="0"/>
          <w:numId w:val="45"/>
        </w:numPr>
        <w:tabs>
          <w:tab w:val="left" w:pos="630"/>
        </w:tabs>
        <w:ind w:left="357" w:hanging="357"/>
        <w:contextualSpacing/>
        <w:rPr>
          <w:rFonts w:ascii="Times New Roman" w:hAnsi="Times New Roman" w:cs="Times New Roman"/>
          <w:color w:val="000000"/>
        </w:rPr>
      </w:pPr>
      <w:r w:rsidRPr="00C62DFE">
        <w:rPr>
          <w:rFonts w:ascii="Times New Roman" w:hAnsi="Times New Roman" w:cs="Times New Roman"/>
          <w:color w:val="000000"/>
        </w:rPr>
        <w:t>Особенности составления бухгалтерской (финансовой) отчетности (БФО)</w:t>
      </w:r>
    </w:p>
    <w:p w:rsidR="00C4593C" w:rsidRPr="00C62DFE" w:rsidRDefault="00C4593C" w:rsidP="00C4593C">
      <w:pPr>
        <w:numPr>
          <w:ilvl w:val="0"/>
          <w:numId w:val="45"/>
        </w:numPr>
        <w:tabs>
          <w:tab w:val="left" w:pos="630"/>
        </w:tabs>
        <w:ind w:left="357" w:hanging="357"/>
        <w:contextualSpacing/>
        <w:rPr>
          <w:rFonts w:ascii="Times New Roman" w:hAnsi="Times New Roman" w:cs="Times New Roman"/>
          <w:color w:val="000000"/>
        </w:rPr>
      </w:pPr>
      <w:r w:rsidRPr="00C62DFE">
        <w:rPr>
          <w:rFonts w:ascii="Times New Roman" w:hAnsi="Times New Roman" w:cs="Times New Roman"/>
          <w:color w:val="000000"/>
        </w:rPr>
        <w:t>Порядок составления БФО</w:t>
      </w:r>
    </w:p>
    <w:p w:rsidR="00C4593C" w:rsidRPr="00C62DFE" w:rsidRDefault="00C4593C" w:rsidP="00C4593C">
      <w:pPr>
        <w:numPr>
          <w:ilvl w:val="0"/>
          <w:numId w:val="45"/>
        </w:numPr>
        <w:tabs>
          <w:tab w:val="left" w:pos="630"/>
        </w:tabs>
        <w:ind w:left="357" w:hanging="357"/>
        <w:contextualSpacing/>
        <w:rPr>
          <w:rFonts w:ascii="Times New Roman" w:hAnsi="Times New Roman" w:cs="Times New Roman"/>
          <w:color w:val="000000"/>
        </w:rPr>
      </w:pPr>
      <w:r w:rsidRPr="00C62DFE">
        <w:rPr>
          <w:rFonts w:ascii="Times New Roman" w:hAnsi="Times New Roman" w:cs="Times New Roman"/>
          <w:color w:val="000000"/>
        </w:rPr>
        <w:t>Требования к представлению БФО</w:t>
      </w:r>
    </w:p>
    <w:p w:rsidR="00C4593C" w:rsidRPr="00C62DFE" w:rsidRDefault="00C4593C" w:rsidP="00C4593C">
      <w:pPr>
        <w:numPr>
          <w:ilvl w:val="0"/>
          <w:numId w:val="45"/>
        </w:numPr>
        <w:tabs>
          <w:tab w:val="left" w:pos="630"/>
        </w:tabs>
        <w:ind w:left="357" w:hanging="357"/>
        <w:contextualSpacing/>
        <w:rPr>
          <w:rFonts w:ascii="Times New Roman" w:hAnsi="Times New Roman" w:cs="Times New Roman"/>
          <w:color w:val="000000"/>
        </w:rPr>
      </w:pPr>
      <w:r w:rsidRPr="00C62DFE">
        <w:rPr>
          <w:rFonts w:ascii="Times New Roman" w:hAnsi="Times New Roman" w:cs="Times New Roman"/>
          <w:color w:val="000000"/>
        </w:rPr>
        <w:t>Состав обязательных форм отчетности и раскрытий к отчетности</w:t>
      </w:r>
    </w:p>
    <w:p w:rsidR="00C4593C" w:rsidRPr="00C62DFE" w:rsidRDefault="00C4593C" w:rsidP="00C4593C">
      <w:pPr>
        <w:spacing w:before="120" w:after="120"/>
        <w:rPr>
          <w:rFonts w:ascii="Times New Roman" w:hAnsi="Times New Roman" w:cs="Times New Roman"/>
          <w:b/>
          <w:color w:val="000000"/>
        </w:rPr>
      </w:pPr>
      <w:r w:rsidRPr="00C62DFE">
        <w:rPr>
          <w:rFonts w:ascii="Times New Roman" w:hAnsi="Times New Roman" w:cs="Times New Roman"/>
          <w:b/>
          <w:color w:val="000000"/>
        </w:rPr>
        <w:t>Тема 2. Особенности составления</w:t>
      </w:r>
      <w:r w:rsidRPr="00C62DFE">
        <w:rPr>
          <w:rFonts w:ascii="Times New Roman" w:hAnsi="Times New Roman" w:cs="Times New Roman"/>
        </w:rPr>
        <w:t xml:space="preserve"> </w:t>
      </w:r>
      <w:r w:rsidRPr="00C62DFE">
        <w:rPr>
          <w:rFonts w:ascii="Times New Roman" w:hAnsi="Times New Roman" w:cs="Times New Roman"/>
          <w:b/>
          <w:color w:val="000000"/>
        </w:rPr>
        <w:t>бухгалтерской (финансовой) отчетности</w:t>
      </w:r>
    </w:p>
    <w:p w:rsidR="00C4593C" w:rsidRPr="00C62DFE" w:rsidRDefault="00C4593C" w:rsidP="00C4593C">
      <w:pPr>
        <w:numPr>
          <w:ilvl w:val="0"/>
          <w:numId w:val="44"/>
        </w:numPr>
        <w:ind w:left="357" w:hanging="357"/>
        <w:contextualSpacing/>
        <w:rPr>
          <w:rFonts w:ascii="Times New Roman" w:hAnsi="Times New Roman" w:cs="Times New Roman"/>
          <w:color w:val="000000"/>
        </w:rPr>
      </w:pPr>
      <w:r w:rsidRPr="00C62DFE">
        <w:rPr>
          <w:rFonts w:ascii="Times New Roman" w:hAnsi="Times New Roman" w:cs="Times New Roman"/>
          <w:color w:val="000000"/>
        </w:rPr>
        <w:t>Бухгалтерский баланс некредитной финансовой организации</w:t>
      </w:r>
    </w:p>
    <w:p w:rsidR="00C4593C" w:rsidRPr="00C62DFE" w:rsidRDefault="00C4593C" w:rsidP="00C4593C">
      <w:pPr>
        <w:numPr>
          <w:ilvl w:val="0"/>
          <w:numId w:val="44"/>
        </w:numPr>
        <w:ind w:left="357" w:hanging="357"/>
        <w:contextualSpacing/>
        <w:rPr>
          <w:rFonts w:ascii="Times New Roman" w:hAnsi="Times New Roman" w:cs="Times New Roman"/>
          <w:color w:val="000000"/>
        </w:rPr>
      </w:pPr>
      <w:r w:rsidRPr="00C62DFE">
        <w:rPr>
          <w:rFonts w:ascii="Times New Roman" w:hAnsi="Times New Roman" w:cs="Times New Roman"/>
          <w:color w:val="000000"/>
        </w:rPr>
        <w:t>Отчет о финансовых результатах некредитной финансовой организации</w:t>
      </w:r>
    </w:p>
    <w:p w:rsidR="00C4593C" w:rsidRPr="00C62DFE" w:rsidRDefault="00C4593C" w:rsidP="00C4593C">
      <w:pPr>
        <w:numPr>
          <w:ilvl w:val="0"/>
          <w:numId w:val="44"/>
        </w:numPr>
        <w:ind w:left="357" w:hanging="357"/>
        <w:contextualSpacing/>
        <w:rPr>
          <w:rFonts w:ascii="Times New Roman" w:hAnsi="Times New Roman" w:cs="Times New Roman"/>
          <w:color w:val="000000"/>
        </w:rPr>
      </w:pPr>
      <w:r w:rsidRPr="00C62DFE">
        <w:rPr>
          <w:rFonts w:ascii="Times New Roman" w:hAnsi="Times New Roman" w:cs="Times New Roman"/>
          <w:color w:val="000000"/>
        </w:rPr>
        <w:t>Отчет об изменениях собственного капитала некредитной финансовой организации</w:t>
      </w:r>
    </w:p>
    <w:p w:rsidR="00C4593C" w:rsidRPr="00C62DFE" w:rsidRDefault="00C4593C" w:rsidP="00C4593C">
      <w:pPr>
        <w:numPr>
          <w:ilvl w:val="0"/>
          <w:numId w:val="44"/>
        </w:numPr>
        <w:ind w:left="357" w:hanging="357"/>
        <w:contextualSpacing/>
        <w:rPr>
          <w:rFonts w:ascii="Times New Roman" w:hAnsi="Times New Roman" w:cs="Times New Roman"/>
          <w:color w:val="000000"/>
        </w:rPr>
      </w:pPr>
      <w:r w:rsidRPr="00C62DFE">
        <w:rPr>
          <w:rFonts w:ascii="Times New Roman" w:hAnsi="Times New Roman" w:cs="Times New Roman"/>
          <w:color w:val="000000"/>
        </w:rPr>
        <w:t>Отчет о потоках денежных средств некредитной финансовой организации</w:t>
      </w:r>
    </w:p>
    <w:p w:rsidR="00C4593C" w:rsidRPr="00C62DFE" w:rsidRDefault="00C4593C" w:rsidP="00C4593C">
      <w:pPr>
        <w:numPr>
          <w:ilvl w:val="0"/>
          <w:numId w:val="44"/>
        </w:numPr>
        <w:ind w:left="357" w:hanging="357"/>
        <w:contextualSpacing/>
        <w:rPr>
          <w:rFonts w:ascii="Times New Roman" w:hAnsi="Times New Roman" w:cs="Times New Roman"/>
          <w:color w:val="000000"/>
        </w:rPr>
      </w:pPr>
      <w:r w:rsidRPr="00C62DFE">
        <w:rPr>
          <w:rFonts w:ascii="Times New Roman" w:hAnsi="Times New Roman" w:cs="Times New Roman"/>
          <w:color w:val="000000"/>
        </w:rPr>
        <w:t>Примечания в составе БФО некредитной финансовой организации</w:t>
      </w:r>
    </w:p>
    <w:p w:rsidR="00C4593C" w:rsidRPr="00C62DFE" w:rsidRDefault="00C4593C" w:rsidP="00C4593C">
      <w:pPr>
        <w:numPr>
          <w:ilvl w:val="0"/>
          <w:numId w:val="44"/>
        </w:numPr>
        <w:ind w:left="357" w:hanging="357"/>
        <w:contextualSpacing/>
        <w:rPr>
          <w:rFonts w:ascii="Times New Roman" w:hAnsi="Times New Roman" w:cs="Times New Roman"/>
          <w:color w:val="000000"/>
        </w:rPr>
      </w:pPr>
      <w:r w:rsidRPr="00C62DFE">
        <w:rPr>
          <w:rFonts w:ascii="Times New Roman" w:hAnsi="Times New Roman" w:cs="Times New Roman"/>
          <w:color w:val="000000"/>
        </w:rPr>
        <w:t>Практические примеры составления БФО</w:t>
      </w:r>
    </w:p>
    <w:p w:rsidR="00C4593C" w:rsidRPr="00C62DFE" w:rsidRDefault="00C4593C" w:rsidP="00C4593C">
      <w:pPr>
        <w:spacing w:before="120" w:after="120"/>
        <w:rPr>
          <w:rFonts w:ascii="Times New Roman" w:hAnsi="Times New Roman" w:cs="Times New Roman"/>
          <w:b/>
        </w:rPr>
      </w:pPr>
      <w:bookmarkStart w:id="2" w:name="Программа8"/>
      <w:r w:rsidRPr="00C62DFE">
        <w:rPr>
          <w:rFonts w:ascii="Times New Roman" w:hAnsi="Times New Roman" w:cs="Times New Roman"/>
          <w:b/>
        </w:rPr>
        <w:t>Актуальные вопросы применения отраслевых стандартов бухгалтерского учета при аудите бухгалтерской отчетности некредитных финансовых организаций</w:t>
      </w:r>
    </w:p>
    <w:bookmarkEnd w:id="2"/>
    <w:p w:rsidR="00C4593C" w:rsidRPr="00C62DFE" w:rsidRDefault="00C4593C" w:rsidP="00C4593C">
      <w:pPr>
        <w:spacing w:after="160"/>
        <w:rPr>
          <w:rFonts w:ascii="Times New Roman" w:hAnsi="Times New Roman" w:cs="Times New Roman"/>
          <w:b/>
        </w:rPr>
      </w:pPr>
      <w:r w:rsidRPr="00C62DFE">
        <w:rPr>
          <w:rFonts w:ascii="Times New Roman" w:hAnsi="Times New Roman" w:cs="Times New Roman"/>
          <w:b/>
        </w:rPr>
        <w:t>Тема 1. Регулирование, контроль и надзор - Центральный Банк Российской Федерации</w:t>
      </w:r>
    </w:p>
    <w:p w:rsidR="00C4593C" w:rsidRPr="00C62DFE" w:rsidRDefault="00C4593C" w:rsidP="00C4593C">
      <w:pPr>
        <w:numPr>
          <w:ilvl w:val="1"/>
          <w:numId w:val="47"/>
        </w:numPr>
        <w:spacing w:after="160"/>
        <w:ind w:left="567" w:hanging="425"/>
        <w:contextualSpacing/>
        <w:rPr>
          <w:rFonts w:ascii="Times New Roman" w:hAnsi="Times New Roman" w:cs="Times New Roman"/>
        </w:rPr>
      </w:pPr>
      <w:r w:rsidRPr="00C62DFE">
        <w:rPr>
          <w:rFonts w:ascii="Times New Roman" w:hAnsi="Times New Roman" w:cs="Times New Roman"/>
        </w:rPr>
        <w:t>Полномочия Банка России по регулированию, контролю и надзору в сфере финансовых рынков. Регулирующие, контрольные и надзорные функции Банка России в сфере финансовых рынков.</w:t>
      </w:r>
    </w:p>
    <w:p w:rsidR="00C4593C" w:rsidRPr="00C62DFE" w:rsidRDefault="00C4593C" w:rsidP="00C4593C">
      <w:pPr>
        <w:numPr>
          <w:ilvl w:val="1"/>
          <w:numId w:val="47"/>
        </w:numPr>
        <w:spacing w:after="160"/>
        <w:ind w:left="567" w:hanging="425"/>
        <w:contextualSpacing/>
        <w:rPr>
          <w:rFonts w:ascii="Times New Roman" w:hAnsi="Times New Roman" w:cs="Times New Roman"/>
        </w:rPr>
      </w:pPr>
      <w:r w:rsidRPr="00C62DFE">
        <w:rPr>
          <w:rFonts w:ascii="Times New Roman" w:hAnsi="Times New Roman" w:cs="Times New Roman"/>
        </w:rPr>
        <w:t xml:space="preserve">Нормативы и иные требования Банка России: требования к собственным средствам (капиталу) или чистым активам, обязательные (финансовые, экономические) нормативы, а также иные требования в соответствии с федеральными законами, регулирующими деятельность соответствующих организаций.  </w:t>
      </w:r>
    </w:p>
    <w:p w:rsidR="00C4593C" w:rsidRPr="00C62DFE" w:rsidRDefault="00C4593C" w:rsidP="00C4593C">
      <w:pPr>
        <w:numPr>
          <w:ilvl w:val="1"/>
          <w:numId w:val="47"/>
        </w:numPr>
        <w:spacing w:after="160"/>
        <w:ind w:left="567" w:hanging="425"/>
        <w:contextualSpacing/>
        <w:rPr>
          <w:rFonts w:ascii="Times New Roman" w:hAnsi="Times New Roman" w:cs="Times New Roman"/>
        </w:rPr>
      </w:pPr>
      <w:r w:rsidRPr="00C62DFE">
        <w:rPr>
          <w:rFonts w:ascii="Times New Roman" w:hAnsi="Times New Roman" w:cs="Times New Roman"/>
        </w:rPr>
        <w:t>Требования, предъявляемые нормативными актами Банка России к правилам внутреннего контроля в некредитных финансовых организациях. Проверки Банком России деятельности некредитных финансовых организаций, направление некредитным финансовым организациям обязательных для исполнения предписаний. Требования к обеспечению защиты информации при осуществлении деятельности в сфере финансовых рынков.</w:t>
      </w:r>
    </w:p>
    <w:p w:rsidR="00C4593C" w:rsidRPr="00C62DFE" w:rsidRDefault="00C4593C" w:rsidP="00C4593C">
      <w:pPr>
        <w:numPr>
          <w:ilvl w:val="1"/>
          <w:numId w:val="47"/>
        </w:numPr>
        <w:spacing w:after="160"/>
        <w:ind w:left="567" w:hanging="425"/>
        <w:contextualSpacing/>
        <w:rPr>
          <w:rFonts w:ascii="Times New Roman" w:hAnsi="Times New Roman" w:cs="Times New Roman"/>
        </w:rPr>
      </w:pPr>
      <w:r w:rsidRPr="00C62DFE">
        <w:rPr>
          <w:rFonts w:ascii="Times New Roman" w:hAnsi="Times New Roman" w:cs="Times New Roman"/>
        </w:rPr>
        <w:t>Требования о предоставлении сведений в Росфинмониторинг.</w:t>
      </w:r>
    </w:p>
    <w:p w:rsidR="00C4593C" w:rsidRPr="00C62DFE" w:rsidRDefault="00C4593C" w:rsidP="00C4593C">
      <w:pPr>
        <w:numPr>
          <w:ilvl w:val="1"/>
          <w:numId w:val="47"/>
        </w:numPr>
        <w:spacing w:after="160"/>
        <w:ind w:left="567" w:hanging="425"/>
        <w:contextualSpacing/>
        <w:rPr>
          <w:rFonts w:ascii="Times New Roman" w:hAnsi="Times New Roman" w:cs="Times New Roman"/>
        </w:rPr>
      </w:pPr>
      <w:r w:rsidRPr="00C62DFE">
        <w:rPr>
          <w:rFonts w:ascii="Times New Roman" w:hAnsi="Times New Roman" w:cs="Times New Roman"/>
        </w:rPr>
        <w:t>Виды деятельности НФО. Саморегулируемые организации в сфере финансового рынка и членство в них некредитных финансовых организаций.</w:t>
      </w:r>
    </w:p>
    <w:p w:rsidR="00C4593C" w:rsidRPr="00C62DFE" w:rsidRDefault="00C4593C" w:rsidP="00C4593C">
      <w:pPr>
        <w:numPr>
          <w:ilvl w:val="1"/>
          <w:numId w:val="47"/>
        </w:numPr>
        <w:spacing w:after="160"/>
        <w:ind w:left="567" w:hanging="425"/>
        <w:contextualSpacing/>
        <w:rPr>
          <w:rFonts w:ascii="Times New Roman" w:hAnsi="Times New Roman" w:cs="Times New Roman"/>
        </w:rPr>
      </w:pPr>
      <w:r w:rsidRPr="00C62DFE">
        <w:rPr>
          <w:rFonts w:ascii="Times New Roman" w:hAnsi="Times New Roman" w:cs="Times New Roman"/>
        </w:rPr>
        <w:t>Сроки и порядок составления и представления отчетности, а также другой информации, предусмотренной федеральными законами, установленные Банком России</w:t>
      </w:r>
    </w:p>
    <w:p w:rsidR="00C4593C" w:rsidRPr="00C62DFE" w:rsidRDefault="00C4593C" w:rsidP="00C4593C">
      <w:pPr>
        <w:spacing w:after="160"/>
        <w:rPr>
          <w:rFonts w:ascii="Times New Roman" w:hAnsi="Times New Roman" w:cs="Times New Roman"/>
          <w:b/>
        </w:rPr>
      </w:pPr>
      <w:r w:rsidRPr="00C62DFE">
        <w:rPr>
          <w:rFonts w:ascii="Times New Roman" w:hAnsi="Times New Roman" w:cs="Times New Roman"/>
          <w:b/>
        </w:rPr>
        <w:t>Тема 2. Правила ведения бухгалтерского учета в некредитных финансовых организациях</w:t>
      </w:r>
    </w:p>
    <w:p w:rsidR="00C4593C" w:rsidRPr="00C62DFE" w:rsidRDefault="00C4593C" w:rsidP="00C4593C">
      <w:pPr>
        <w:rPr>
          <w:rFonts w:ascii="Times New Roman" w:hAnsi="Times New Roman" w:cs="Times New Roman"/>
        </w:rPr>
      </w:pPr>
      <w:r w:rsidRPr="00C62DFE">
        <w:rPr>
          <w:rFonts w:ascii="Times New Roman" w:hAnsi="Times New Roman" w:cs="Times New Roman"/>
        </w:rPr>
        <w:t xml:space="preserve"> 2.1. Основные принципы бухгалтерского учета в некредитных финансовых организациях.</w:t>
      </w:r>
    </w:p>
    <w:p w:rsidR="00C4593C" w:rsidRPr="00C62DFE" w:rsidRDefault="00C4593C" w:rsidP="00C4593C">
      <w:pPr>
        <w:rPr>
          <w:rFonts w:ascii="Times New Roman" w:hAnsi="Times New Roman" w:cs="Times New Roman"/>
        </w:rPr>
      </w:pPr>
      <w:r w:rsidRPr="00C62DFE">
        <w:rPr>
          <w:rFonts w:ascii="Times New Roman" w:hAnsi="Times New Roman" w:cs="Times New Roman"/>
        </w:rPr>
        <w:t xml:space="preserve"> 2.2. Единый план счетов бухгалтерского учета в некредитных финансовых организациях. </w:t>
      </w:r>
    </w:p>
    <w:p w:rsidR="00C4593C" w:rsidRPr="00C62DFE" w:rsidRDefault="00C4593C" w:rsidP="00C4593C">
      <w:pPr>
        <w:rPr>
          <w:rFonts w:ascii="Times New Roman" w:hAnsi="Times New Roman" w:cs="Times New Roman"/>
        </w:rPr>
      </w:pPr>
      <w:r w:rsidRPr="00C62DFE">
        <w:rPr>
          <w:rFonts w:ascii="Times New Roman" w:hAnsi="Times New Roman" w:cs="Times New Roman"/>
        </w:rPr>
        <w:t xml:space="preserve"> 2.3. Порядок отражения на счетах бухгалтерского учета объектов бухгалтерского учета некредитными финансовыми организациями.</w:t>
      </w:r>
    </w:p>
    <w:p w:rsidR="00C4593C" w:rsidRPr="00C62DFE" w:rsidRDefault="00C4593C" w:rsidP="00C4593C">
      <w:pPr>
        <w:numPr>
          <w:ilvl w:val="0"/>
          <w:numId w:val="46"/>
        </w:numPr>
        <w:contextualSpacing/>
        <w:rPr>
          <w:rFonts w:ascii="Times New Roman" w:hAnsi="Times New Roman" w:cs="Times New Roman"/>
        </w:rPr>
      </w:pPr>
      <w:r w:rsidRPr="00C62DFE">
        <w:rPr>
          <w:rFonts w:ascii="Times New Roman" w:hAnsi="Times New Roman" w:cs="Times New Roman"/>
        </w:rPr>
        <w:t xml:space="preserve">Порядок осуществления бухгалтерского учета в соответствии с Положениями Банка России. </w:t>
      </w:r>
    </w:p>
    <w:p w:rsidR="00C4593C" w:rsidRPr="00C62DFE" w:rsidRDefault="00C4593C" w:rsidP="00C4593C">
      <w:pPr>
        <w:numPr>
          <w:ilvl w:val="0"/>
          <w:numId w:val="46"/>
        </w:numPr>
        <w:contextualSpacing/>
        <w:rPr>
          <w:rFonts w:ascii="Times New Roman" w:hAnsi="Times New Roman" w:cs="Times New Roman"/>
        </w:rPr>
      </w:pPr>
      <w:r w:rsidRPr="00C62DFE">
        <w:rPr>
          <w:rFonts w:ascii="Times New Roman" w:hAnsi="Times New Roman" w:cs="Times New Roman"/>
        </w:rPr>
        <w:lastRenderedPageBreak/>
        <w:t>Особенности отражения финансовых инструментов в соответствии с МСФО.</w:t>
      </w:r>
    </w:p>
    <w:p w:rsidR="00C4593C" w:rsidRPr="00C62DFE" w:rsidRDefault="00C4593C" w:rsidP="00C4593C">
      <w:pPr>
        <w:spacing w:after="160"/>
        <w:rPr>
          <w:rFonts w:ascii="Times New Roman" w:hAnsi="Times New Roman" w:cs="Times New Roman"/>
          <w:b/>
        </w:rPr>
      </w:pPr>
      <w:r w:rsidRPr="00C62DFE">
        <w:rPr>
          <w:rFonts w:ascii="Times New Roman" w:hAnsi="Times New Roman" w:cs="Times New Roman"/>
          <w:b/>
        </w:rPr>
        <w:t>Тема 3. Правила учета отложенных налогов в некредитных финансовых организациях</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 xml:space="preserve"> 3.1. Порядок признания отложенных налоговых обязательств и отложенных налоговых активов.</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 xml:space="preserve"> 3.2. Порядок отражения отложенного налога на прибыль в связи с переоценкой основного средства. </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 xml:space="preserve"> 3.3. Порядок отражения отложенного налога на прибыль в связи с переоценкой долевых и долговых ценных бумаг и формированием резерва под обесценение.</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b/>
        </w:rPr>
        <w:t>Тема 4. Актуальные вопросы бухгалтерского учета объектов бухгалтерского учета в некредитных финансовых организациях и применения методов аудита в рамках аудиторской проверки НФО</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 xml:space="preserve">1. Соответствие записей по отражению на счетах бухгалтерского учета операций с ценными бумаги требованиям </w:t>
      </w:r>
      <w:hyperlink r:id="rId9" w:history="1">
        <w:r w:rsidRPr="00C62DFE">
          <w:rPr>
            <w:rFonts w:ascii="Times New Roman" w:hAnsi="Times New Roman" w:cs="Times New Roman"/>
            <w:u w:val="single"/>
          </w:rPr>
          <w:t>Положения</w:t>
        </w:r>
      </w:hyperlink>
      <w:r w:rsidRPr="00C62DFE">
        <w:rPr>
          <w:rFonts w:ascii="Times New Roman" w:hAnsi="Times New Roman" w:cs="Times New Roman"/>
          <w:lang w:eastAsia="en-US"/>
        </w:rPr>
        <w:t xml:space="preserve"> </w:t>
      </w:r>
      <w:r w:rsidRPr="00C62DFE">
        <w:rPr>
          <w:rFonts w:ascii="Times New Roman" w:hAnsi="Times New Roman" w:cs="Times New Roman"/>
        </w:rPr>
        <w:t>Банка России от 1 октября 2015 г. N 494-П "Отраслевой стандарт бухгалтерского учета операций с ценными бумагами в некредитных финансовых организациях", а также корректность включения информации об операциях с ценными бумагами в бухгалтерскую отчетность.</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2. Корректность и полнота представления в бухгалтерской отчетности информации об инвестициях в ассоциированные предприятия, а также соответствие раскрытой информации о вложениях в ассоциированные предприятия в бухгалтерской отчетности информации, отраженной на счетах бухгалтерского учета.</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3. Подход к определению критерия существенности при признании разницы между амортизированной стоимостью финансового актива, рассчитанной с применением линейного метода признания процентного дохода, и амортизированной стоимостью финансового актива, рассчитанной с применением метода эффективной процентной ставки, несущественной.</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 xml:space="preserve">4. Соответствие применяемой методики определения убытка от обесценения вложений в акции дочерних и ассоциированных акционерных обществ, оцениваемых в соответствии с </w:t>
      </w:r>
      <w:hyperlink r:id="rId10" w:history="1">
        <w:r w:rsidRPr="00C62DFE">
          <w:rPr>
            <w:rFonts w:ascii="Times New Roman" w:hAnsi="Times New Roman" w:cs="Times New Roman"/>
            <w:u w:val="single"/>
          </w:rPr>
          <w:t>пунктом 10</w:t>
        </w:r>
      </w:hyperlink>
      <w:r w:rsidRPr="00C62DFE">
        <w:rPr>
          <w:rFonts w:ascii="Times New Roman" w:hAnsi="Times New Roman" w:cs="Times New Roman"/>
          <w:lang w:eastAsia="en-US"/>
        </w:rPr>
        <w:t xml:space="preserve"> </w:t>
      </w:r>
      <w:r w:rsidRPr="00C62DFE">
        <w:rPr>
          <w:rFonts w:ascii="Times New Roman" w:hAnsi="Times New Roman" w:cs="Times New Roman"/>
        </w:rPr>
        <w:t xml:space="preserve">МСФО (IAS) 27 "Отдельная финансовая отчетность" по первоначальной стоимости, требованиям </w:t>
      </w:r>
      <w:hyperlink r:id="rId11" w:history="1">
        <w:r w:rsidRPr="00C62DFE">
          <w:rPr>
            <w:rFonts w:ascii="Times New Roman" w:hAnsi="Times New Roman" w:cs="Times New Roman"/>
            <w:u w:val="single"/>
          </w:rPr>
          <w:t>МСФО (IAS) 36</w:t>
        </w:r>
      </w:hyperlink>
      <w:r w:rsidRPr="00C62DFE">
        <w:rPr>
          <w:rFonts w:ascii="Times New Roman" w:hAnsi="Times New Roman" w:cs="Times New Roman"/>
          <w:lang w:eastAsia="en-US"/>
        </w:rPr>
        <w:t xml:space="preserve"> "</w:t>
      </w:r>
      <w:r w:rsidRPr="00C62DFE">
        <w:rPr>
          <w:rFonts w:ascii="Times New Roman" w:hAnsi="Times New Roman" w:cs="Times New Roman"/>
        </w:rPr>
        <w:t>Обесценение активов".</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 xml:space="preserve">5. Методика проведения SPPI-тестов (оценка условий выпуска ценных бумаг, обусловливающих получение в указанные даты денежных потоков, являющихся исключительно платежами в счет основной суммы долга и процентов на непогашенную часть основной суммы долга) при вложениях в долговые ценные бумаги иностранных эмитентов. </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 xml:space="preserve">6. Подход к проведению классификации финансовых инструментов в соответствии с </w:t>
      </w:r>
      <w:hyperlink r:id="rId12" w:history="1">
        <w:r w:rsidRPr="00C62DFE">
          <w:rPr>
            <w:rFonts w:ascii="Times New Roman" w:hAnsi="Times New Roman" w:cs="Times New Roman"/>
            <w:u w:val="single"/>
          </w:rPr>
          <w:t>МСФО (IFRS) 9</w:t>
        </w:r>
      </w:hyperlink>
      <w:r w:rsidRPr="00C62DFE">
        <w:rPr>
          <w:rFonts w:ascii="Times New Roman" w:hAnsi="Times New Roman" w:cs="Times New Roman"/>
          <w:lang w:eastAsia="en-US"/>
        </w:rPr>
        <w:t xml:space="preserve">. </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 xml:space="preserve">7. Корректность представления в финансовой отчетности информации об изменении оценочного резерва под убытки, раскрываемой в соответствии с </w:t>
      </w:r>
      <w:hyperlink r:id="rId13" w:history="1">
        <w:r w:rsidRPr="00C62DFE">
          <w:rPr>
            <w:rFonts w:ascii="Times New Roman" w:hAnsi="Times New Roman" w:cs="Times New Roman"/>
            <w:u w:val="single"/>
          </w:rPr>
          <w:t>МСФО (IFRS) 7</w:t>
        </w:r>
      </w:hyperlink>
      <w:r w:rsidRPr="00C62DFE">
        <w:rPr>
          <w:rFonts w:ascii="Times New Roman" w:hAnsi="Times New Roman" w:cs="Times New Roman"/>
          <w:lang w:eastAsia="en-US"/>
        </w:rPr>
        <w:t xml:space="preserve">, </w:t>
      </w:r>
      <w:r w:rsidRPr="00C62DFE">
        <w:rPr>
          <w:rFonts w:ascii="Times New Roman" w:hAnsi="Times New Roman" w:cs="Times New Roman"/>
        </w:rPr>
        <w:t>а также корректность порядка расчета количественных показателей при раскрытии информации о факторах, которые способствовали изменению оценочного резерва под убытки.</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 xml:space="preserve">8. Методика анализа чувствительности по каждому виду рыночного риска, которому подвержена некредитная финансовая организация на дату окончания отчетного периода, показывающего влияние на прибыль или убыток и собственный капитал, а также полноту представления данной информации в финансовой отчетности в соответствии с </w:t>
      </w:r>
      <w:hyperlink r:id="rId14" w:history="1">
        <w:r w:rsidRPr="00C62DFE">
          <w:rPr>
            <w:rFonts w:ascii="Times New Roman" w:hAnsi="Times New Roman" w:cs="Times New Roman"/>
            <w:u w:val="single"/>
          </w:rPr>
          <w:t>МСФО (IFRS) 7</w:t>
        </w:r>
      </w:hyperlink>
      <w:r w:rsidRPr="00C62DFE">
        <w:rPr>
          <w:rFonts w:ascii="Times New Roman" w:hAnsi="Times New Roman" w:cs="Times New Roman"/>
          <w:lang w:eastAsia="en-US"/>
        </w:rPr>
        <w:t>.</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 xml:space="preserve">9. Соответствие методики оценки резерва под ожидаемые кредитные убытки по финансовым инструментам </w:t>
      </w:r>
      <w:hyperlink r:id="rId15" w:history="1">
        <w:r w:rsidRPr="00C62DFE">
          <w:rPr>
            <w:rFonts w:ascii="Times New Roman" w:hAnsi="Times New Roman" w:cs="Times New Roman"/>
            <w:u w:val="single"/>
          </w:rPr>
          <w:t>МСФО (IFRS) 9</w:t>
        </w:r>
      </w:hyperlink>
      <w:r w:rsidRPr="00C62DFE">
        <w:rPr>
          <w:rFonts w:ascii="Times New Roman" w:hAnsi="Times New Roman" w:cs="Times New Roman"/>
          <w:lang w:eastAsia="en-US"/>
        </w:rPr>
        <w:t xml:space="preserve">, </w:t>
      </w:r>
      <w:r w:rsidRPr="00C62DFE">
        <w:rPr>
          <w:rFonts w:ascii="Times New Roman" w:hAnsi="Times New Roman" w:cs="Times New Roman"/>
        </w:rPr>
        <w:t>а именно: метод расчета вероятности наступления события дефолта и уровня потерь при дефолте, распределение финансовых инструментов по стадиям в зависимости от изменения уровня кредитного риска, подход к группировке финансовых инструментов, впоследствии влияющий на создание резервов под ожидаемые кредитные убытки на индивидуальной или групповой основе.</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 xml:space="preserve">10. Порядок признания финансовых инструментов, подлежащих взаимозачету и подпадающих под действие обеспеченного правовой защитой генерального соглашения о взаимозачете, а также полноту раскрытия информации о взаимозачете финансовых инструментов в соответствии с </w:t>
      </w:r>
      <w:hyperlink r:id="rId16" w:history="1">
        <w:r w:rsidRPr="00C62DFE">
          <w:rPr>
            <w:rFonts w:ascii="Times New Roman" w:hAnsi="Times New Roman" w:cs="Times New Roman"/>
            <w:u w:val="single"/>
          </w:rPr>
          <w:t>пунктами 13А</w:t>
        </w:r>
      </w:hyperlink>
      <w:r w:rsidRPr="00C62DFE">
        <w:rPr>
          <w:rFonts w:ascii="Times New Roman" w:hAnsi="Times New Roman" w:cs="Times New Roman"/>
          <w:lang w:eastAsia="en-US"/>
        </w:rPr>
        <w:t>-</w:t>
      </w:r>
      <w:hyperlink r:id="rId17" w:history="1">
        <w:r w:rsidRPr="00C62DFE">
          <w:rPr>
            <w:rFonts w:ascii="Times New Roman" w:hAnsi="Times New Roman" w:cs="Times New Roman"/>
            <w:u w:val="single"/>
          </w:rPr>
          <w:t>13F</w:t>
        </w:r>
      </w:hyperlink>
      <w:r w:rsidRPr="00C62DFE">
        <w:rPr>
          <w:rFonts w:ascii="Times New Roman" w:hAnsi="Times New Roman" w:cs="Times New Roman"/>
          <w:lang w:eastAsia="en-US"/>
        </w:rPr>
        <w:t xml:space="preserve"> </w:t>
      </w:r>
      <w:r w:rsidRPr="00C62DFE">
        <w:rPr>
          <w:rFonts w:ascii="Times New Roman" w:hAnsi="Times New Roman" w:cs="Times New Roman"/>
        </w:rPr>
        <w:t>МСФО (IFRS) 7.</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 xml:space="preserve">11. Соответствие подхода к определению справедливой стоимости финансовых активов и финансовых обязательств, по которым недоступны релевантные наблюдаемые исходные данные (исходные данные Уровня 3), </w:t>
      </w:r>
      <w:hyperlink r:id="rId18" w:history="1">
        <w:r w:rsidRPr="00C62DFE">
          <w:rPr>
            <w:rFonts w:ascii="Times New Roman" w:hAnsi="Times New Roman" w:cs="Times New Roman"/>
            <w:u w:val="single"/>
          </w:rPr>
          <w:t>МСФО (IFRS) 13</w:t>
        </w:r>
      </w:hyperlink>
      <w:r w:rsidRPr="00C62DFE">
        <w:rPr>
          <w:rFonts w:ascii="Times New Roman" w:hAnsi="Times New Roman" w:cs="Times New Roman"/>
          <w:lang w:eastAsia="en-US"/>
        </w:rPr>
        <w:t>.</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 xml:space="preserve">12. Полнота раскрытия информации о справедливой стоимости финансовых инструментов и соответствие раскрытой информации </w:t>
      </w:r>
      <w:hyperlink r:id="rId19" w:history="1">
        <w:r w:rsidRPr="00C62DFE">
          <w:rPr>
            <w:rFonts w:ascii="Times New Roman" w:hAnsi="Times New Roman" w:cs="Times New Roman"/>
            <w:u w:val="single"/>
          </w:rPr>
          <w:t>пункту 90</w:t>
        </w:r>
      </w:hyperlink>
      <w:r w:rsidRPr="00C62DFE">
        <w:rPr>
          <w:rFonts w:ascii="Times New Roman" w:hAnsi="Times New Roman" w:cs="Times New Roman"/>
          <w:lang w:eastAsia="en-US"/>
        </w:rPr>
        <w:t xml:space="preserve"> </w:t>
      </w:r>
      <w:r w:rsidRPr="00C62DFE">
        <w:rPr>
          <w:rFonts w:ascii="Times New Roman" w:hAnsi="Times New Roman" w:cs="Times New Roman"/>
        </w:rPr>
        <w:t>МСФО (IFRS).</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lastRenderedPageBreak/>
        <w:t xml:space="preserve">13. Корректность трансформации бухгалтерской отчетности, составленной в соответствии с российскими стандартами бухгалтерского учета, в финансовую отчетность по МСФО. </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14. Подтверждение дебиторской и кредиторской задолженности с учетом фактически завершенных между сторонами действий в рамках договоров.</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 xml:space="preserve">15. Проверка соответствия сформированных в учете и отраженных в бухгалтерской отчетности отложенных налогов требованиям </w:t>
      </w:r>
      <w:hyperlink r:id="rId20" w:history="1">
        <w:r w:rsidRPr="00C62DFE">
          <w:rPr>
            <w:rFonts w:ascii="Times New Roman" w:hAnsi="Times New Roman" w:cs="Times New Roman"/>
            <w:u w:val="single"/>
          </w:rPr>
          <w:t>Положения</w:t>
        </w:r>
      </w:hyperlink>
      <w:r w:rsidRPr="00C62DFE">
        <w:rPr>
          <w:rFonts w:ascii="Times New Roman" w:hAnsi="Times New Roman" w:cs="Times New Roman"/>
          <w:lang w:eastAsia="en-US"/>
        </w:rPr>
        <w:t xml:space="preserve"> </w:t>
      </w:r>
      <w:r w:rsidRPr="00C62DFE">
        <w:rPr>
          <w:rFonts w:ascii="Times New Roman" w:hAnsi="Times New Roman" w:cs="Times New Roman"/>
        </w:rPr>
        <w:t>Банка России от 4 сентября 2015 г. N 490-П "Отраслевой стандарт бухгалтерского учета отложенных налоговых обязательств и отложенных налоговых активов некредитными финансовыми организациями"; правомерность признания отложенных налоговых активов.</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16. Анализ существенных изменений в учетной политике и порядок их отражения; оценка причин существенных изменений, в том числе порядок отражения в бухгалтерском учете и отчетности изменений, связанных с корректировкой подходов, бухгалтерских оценок, выявления ошибок в предыдущих периодах, изменений учетной политики и проверка соблюдения требований о ретроспективном пересчете показателей.</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17. Анализ операций со связанными сторонами в целях получения достоверной информации об отсутствии риска мошенничества, в том числе проверка операций на нерыночных условиях.</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18. Правомерность осуществления (влияние на капитал) страховыми организациями и негосударственными пенсионными фондами корректировок до наилучшей оценки величин страховых резервов и пенсионных обязательств соответственно.</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19. Проверка наличия мнимых и притворных объектов бухгалтерского учета, используемых для завышения стоимости активов и искусственного формирования капитала кредитных потребительских кооперативов в неденежной форме.</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 xml:space="preserve">20. Соблюдение </w:t>
      </w:r>
      <w:hyperlink r:id="rId21" w:history="1">
        <w:r w:rsidRPr="00C62DFE">
          <w:rPr>
            <w:rFonts w:ascii="Times New Roman" w:hAnsi="Times New Roman" w:cs="Times New Roman"/>
            <w:u w:val="single"/>
          </w:rPr>
          <w:t>МСФО (IFRS) 9</w:t>
        </w:r>
      </w:hyperlink>
      <w:r w:rsidRPr="00C62DFE">
        <w:rPr>
          <w:rFonts w:ascii="Times New Roman" w:hAnsi="Times New Roman" w:cs="Times New Roman"/>
          <w:lang w:eastAsia="en-US"/>
        </w:rPr>
        <w:t xml:space="preserve"> </w:t>
      </w:r>
      <w:r w:rsidRPr="00C62DFE">
        <w:rPr>
          <w:rFonts w:ascii="Times New Roman" w:hAnsi="Times New Roman" w:cs="Times New Roman"/>
        </w:rPr>
        <w:t xml:space="preserve">при расчете резервов под обесценение по предоставленным денежным займам в соответствии с </w:t>
      </w:r>
      <w:hyperlink r:id="rId22" w:history="1">
        <w:r w:rsidRPr="00C62DFE">
          <w:rPr>
            <w:rFonts w:ascii="Times New Roman" w:hAnsi="Times New Roman" w:cs="Times New Roman"/>
            <w:u w:val="single"/>
          </w:rPr>
          <w:t>Положением</w:t>
        </w:r>
      </w:hyperlink>
      <w:r w:rsidRPr="00C62DFE">
        <w:rPr>
          <w:rFonts w:ascii="Times New Roman" w:hAnsi="Times New Roman" w:cs="Times New Roman"/>
          <w:lang w:eastAsia="en-US"/>
        </w:rPr>
        <w:t xml:space="preserve"> </w:t>
      </w:r>
      <w:r w:rsidRPr="00C62DFE">
        <w:rPr>
          <w:rFonts w:ascii="Times New Roman" w:hAnsi="Times New Roman" w:cs="Times New Roman"/>
        </w:rPr>
        <w:t>Банка России от 1 октября 2015 г. N 493-П "Отраслевой стандарт бухгалтерского учета некредитными финансовыми организациями операций по выдаче (размещению) денежных средств по договорам займа и договорам банковского вклада", в том числе результаты оценки ожидаемых кредитных убытков, применяемой микрофинансовыми организациями для формирования резервов под обесценение по предоставленным займам и их соответствие фактическим кредитным убыткам по аналогичным займам в предыдущих периодах, скорректированным с учетом изменения релевантных наблюдаемых данных (например, уровня безработицы и уровня цен).</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21. Корректность расчета обязательного норматива достаточности капитала профессиональными участниками рынка ценных бумаг (введен с 1 октября 2021 г.).</w:t>
      </w:r>
    </w:p>
    <w:p w:rsidR="00C4593C" w:rsidRPr="00C62DFE" w:rsidRDefault="00C4593C" w:rsidP="00C4593C">
      <w:pPr>
        <w:spacing w:after="160"/>
        <w:rPr>
          <w:rFonts w:ascii="Times New Roman" w:hAnsi="Times New Roman" w:cs="Times New Roman"/>
          <w:b/>
        </w:rPr>
      </w:pPr>
      <w:r w:rsidRPr="00C62DFE">
        <w:rPr>
          <w:rFonts w:ascii="Times New Roman" w:hAnsi="Times New Roman" w:cs="Times New Roman"/>
          <w:b/>
        </w:rPr>
        <w:t>Тема 5. Меры Банка России по стабилизации ситуации на финансовых рынках в условиях реализации санкционных рисков.</w:t>
      </w:r>
    </w:p>
    <w:p w:rsidR="00C4593C" w:rsidRPr="00C62DFE" w:rsidRDefault="00C4593C" w:rsidP="00C4593C">
      <w:pPr>
        <w:spacing w:after="160"/>
        <w:rPr>
          <w:rFonts w:ascii="Times New Roman" w:hAnsi="Times New Roman" w:cs="Times New Roman"/>
        </w:rPr>
      </w:pPr>
      <w:r w:rsidRPr="00C62DFE">
        <w:rPr>
          <w:rFonts w:ascii="Times New Roman" w:hAnsi="Times New Roman" w:cs="Times New Roman"/>
        </w:rPr>
        <w:t>1. Регуляторные послабления в отношении всех участников финансового рынка — общие регуляторные послабления.</w:t>
      </w:r>
    </w:p>
    <w:p w:rsidR="00C4593C" w:rsidRPr="00C62DFE" w:rsidRDefault="00C4593C" w:rsidP="00C4593C">
      <w:pPr>
        <w:rPr>
          <w:rFonts w:ascii="Times New Roman" w:hAnsi="Times New Roman" w:cs="Times New Roman"/>
        </w:rPr>
      </w:pPr>
      <w:r w:rsidRPr="00C62DFE">
        <w:rPr>
          <w:rFonts w:ascii="Times New Roman" w:hAnsi="Times New Roman" w:cs="Times New Roman"/>
        </w:rPr>
        <w:t>2. Регуляторные послабления, направленные непосредственно на некредитные финансовые организации (по типам НФО):</w:t>
      </w:r>
    </w:p>
    <w:p w:rsidR="00C4593C" w:rsidRPr="00C62DFE" w:rsidRDefault="00C4593C" w:rsidP="00C4593C">
      <w:pPr>
        <w:rPr>
          <w:rFonts w:ascii="Times New Roman" w:hAnsi="Times New Roman" w:cs="Times New Roman"/>
        </w:rPr>
      </w:pPr>
      <w:r w:rsidRPr="00C62DFE">
        <w:rPr>
          <w:rFonts w:ascii="Times New Roman" w:hAnsi="Times New Roman" w:cs="Times New Roman"/>
        </w:rPr>
        <w:t>профессиональные участники рынка ценных бумаг;</w:t>
      </w:r>
    </w:p>
    <w:p w:rsidR="00C4593C" w:rsidRPr="00C62DFE" w:rsidRDefault="00C4593C" w:rsidP="00C4593C">
      <w:pPr>
        <w:rPr>
          <w:rFonts w:ascii="Times New Roman" w:hAnsi="Times New Roman" w:cs="Times New Roman"/>
        </w:rPr>
      </w:pPr>
      <w:r w:rsidRPr="00C62DFE">
        <w:rPr>
          <w:rFonts w:ascii="Times New Roman" w:hAnsi="Times New Roman" w:cs="Times New Roman"/>
        </w:rPr>
        <w:t>страховые организации;</w:t>
      </w:r>
    </w:p>
    <w:p w:rsidR="00C4593C" w:rsidRPr="00C62DFE" w:rsidRDefault="00C4593C" w:rsidP="00C4593C">
      <w:pPr>
        <w:rPr>
          <w:rFonts w:ascii="Times New Roman" w:hAnsi="Times New Roman" w:cs="Times New Roman"/>
        </w:rPr>
      </w:pPr>
      <w:r w:rsidRPr="00C62DFE">
        <w:rPr>
          <w:rFonts w:ascii="Times New Roman" w:hAnsi="Times New Roman" w:cs="Times New Roman"/>
        </w:rPr>
        <w:t>негосударственные пенсионные фонды;</w:t>
      </w:r>
    </w:p>
    <w:p w:rsidR="00C4593C" w:rsidRPr="00C62DFE" w:rsidRDefault="00C4593C" w:rsidP="00C4593C">
      <w:pPr>
        <w:rPr>
          <w:rFonts w:ascii="Times New Roman" w:hAnsi="Times New Roman" w:cs="Times New Roman"/>
        </w:rPr>
      </w:pPr>
      <w:r w:rsidRPr="00C62DFE">
        <w:rPr>
          <w:rFonts w:ascii="Times New Roman" w:hAnsi="Times New Roman" w:cs="Times New Roman"/>
        </w:rPr>
        <w:t>управляющие компании;</w:t>
      </w:r>
    </w:p>
    <w:p w:rsidR="00C4593C" w:rsidRPr="00C62DFE" w:rsidRDefault="00C4593C" w:rsidP="00C4593C">
      <w:pPr>
        <w:rPr>
          <w:rFonts w:ascii="Times New Roman" w:hAnsi="Times New Roman" w:cs="Times New Roman"/>
        </w:rPr>
      </w:pPr>
      <w:r w:rsidRPr="00C62DFE">
        <w:rPr>
          <w:rFonts w:ascii="Times New Roman" w:hAnsi="Times New Roman" w:cs="Times New Roman"/>
        </w:rPr>
        <w:t>организаторы торговли и клиринговые организации;</w:t>
      </w:r>
    </w:p>
    <w:p w:rsidR="00C4593C" w:rsidRPr="00C62DFE" w:rsidRDefault="00C4593C" w:rsidP="00C4593C">
      <w:pPr>
        <w:rPr>
          <w:rFonts w:ascii="Times New Roman" w:hAnsi="Times New Roman" w:cs="Times New Roman"/>
        </w:rPr>
      </w:pPr>
      <w:r w:rsidRPr="00C62DFE">
        <w:rPr>
          <w:rFonts w:ascii="Times New Roman" w:hAnsi="Times New Roman" w:cs="Times New Roman"/>
        </w:rPr>
        <w:t>другие типы НФО.</w:t>
      </w:r>
    </w:p>
    <w:p w:rsidR="003C6851" w:rsidRPr="00C4593C" w:rsidRDefault="00C4593C" w:rsidP="00C4593C">
      <w:pPr>
        <w:pStyle w:val="contents"/>
        <w:spacing w:before="120" w:beforeAutospacing="0" w:after="120" w:afterAutospacing="0"/>
        <w:rPr>
          <w:rFonts w:ascii="Times New Roman" w:hAnsi="Times New Roman" w:cs="Times New Roman"/>
          <w:sz w:val="22"/>
          <w:szCs w:val="22"/>
        </w:rPr>
      </w:pPr>
      <w:r w:rsidRPr="00C4593C">
        <w:rPr>
          <w:rFonts w:ascii="Times New Roman" w:hAnsi="Times New Roman" w:cs="Times New Roman"/>
          <w:sz w:val="22"/>
          <w:szCs w:val="22"/>
        </w:rPr>
        <w:t>3. Регуляторные послабления и иные антикризисные меры в отношении эмитентов ценных бумаг.</w:t>
      </w:r>
    </w:p>
    <w:sectPr w:rsidR="003C6851" w:rsidRPr="00C4593C" w:rsidSect="00C4593C">
      <w:pgSz w:w="11906" w:h="16838" w:code="9"/>
      <w:pgMar w:top="567" w:right="850"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AF4" w:rsidRDefault="00D85AF4" w:rsidP="00EA3585">
      <w:r>
        <w:separator/>
      </w:r>
    </w:p>
  </w:endnote>
  <w:endnote w:type="continuationSeparator" w:id="0">
    <w:p w:rsidR="00D85AF4" w:rsidRDefault="00D85AF4" w:rsidP="00EA3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altName w:val=" Helvetica"/>
    <w:panose1 w:val="020B0604020202020204"/>
    <w:charset w:val="CC"/>
    <w:family w:val="swiss"/>
    <w:pitch w:val="variable"/>
    <w:sig w:usb0="E0002AFF" w:usb1="C0007843" w:usb2="00000009" w:usb3="00000000" w:csb0="000001FF" w:csb1="00000000"/>
  </w:font>
  <w:font w:name="Times New Roman">
    <w:altName w:val="Times New Roman"/>
    <w:panose1 w:val="02020603050405020304"/>
    <w:charset w:val="CC"/>
    <w:family w:val="roman"/>
    <w:pitch w:val="variable"/>
    <w:sig w:usb0="E0002AFF" w:usb1="C0007841" w:usb2="00000009" w:usb3="00000000" w:csb0="000001FF" w:csb1="00000000"/>
  </w:font>
  <w:font w:name="Symbol">
    <w:altName w:val="Wingdings 3"/>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AFF" w:usb1="C0007843" w:usb2="00000009" w:usb3="00000000" w:csb0="000001FF" w:csb1="00000000"/>
  </w:font>
  <w:font w:name="Wingdings">
    <w:altName w:val="Albertus Medium"/>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00002FF" w:usb1="4000ACFF" w:usb2="00000001" w:usb3="00000000" w:csb0="0000019F" w:csb1="00000000"/>
  </w:font>
  <w:font w:name="Cambria">
    <w:altName w:val="Palatino Linotype"/>
    <w:panose1 w:val="02040503050406030204"/>
    <w:charset w:val="CC"/>
    <w:family w:val="roman"/>
    <w:pitch w:val="variable"/>
    <w:sig w:usb0="E00002FF" w:usb1="400004FF" w:usb2="0000000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Verdana">
    <w:altName w:val="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AF4" w:rsidRDefault="00D85AF4" w:rsidP="00EA3585">
      <w:r>
        <w:separator/>
      </w:r>
    </w:p>
  </w:footnote>
  <w:footnote w:type="continuationSeparator" w:id="0">
    <w:p w:rsidR="00D85AF4" w:rsidRDefault="00D85AF4" w:rsidP="00EA35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15.5pt;height:3in;visibility:visible" o:bullet="t">
        <v:imagedata r:id="rId1" o:title=""/>
      </v:shape>
    </w:pict>
  </w:numPicBullet>
  <w:numPicBullet w:numPicBulletId="1">
    <w:pict>
      <v:shape id="_x0000_i1030" type="#_x0000_t75" style="width:215.5pt;height:3in;visibility:visible" o:bullet="t">
        <v:imagedata r:id="rId2" o:title=""/>
      </v:shape>
    </w:pict>
  </w:numPicBullet>
  <w:abstractNum w:abstractNumId="0" w15:restartNumberingAfterBreak="0">
    <w:nsid w:val="0047632F"/>
    <w:multiLevelType w:val="hybridMultilevel"/>
    <w:tmpl w:val="FFFFFFFF"/>
    <w:lvl w:ilvl="0" w:tplc="432665D2">
      <w:start w:val="1"/>
      <w:numFmt w:val="bullet"/>
      <w:lvlText w:val="•"/>
      <w:lvlJc w:val="left"/>
      <w:pPr>
        <w:ind w:left="749"/>
      </w:pPr>
      <w:rPr>
        <w:rFonts w:ascii="Arial" w:eastAsia="Times New Roman" w:hAnsi="Arial"/>
        <w:b w:val="0"/>
        <w:i w:val="0"/>
        <w:strike w:val="0"/>
        <w:dstrike w:val="0"/>
        <w:color w:val="000000"/>
        <w:sz w:val="20"/>
        <w:u w:val="none" w:color="000000"/>
        <w:vertAlign w:val="baseline"/>
      </w:rPr>
    </w:lvl>
    <w:lvl w:ilvl="1" w:tplc="AE14C45A">
      <w:start w:val="1"/>
      <w:numFmt w:val="bullet"/>
      <w:lvlText w:val="o"/>
      <w:lvlJc w:val="left"/>
      <w:pPr>
        <w:ind w:left="1455"/>
      </w:pPr>
      <w:rPr>
        <w:rFonts w:ascii="Arial" w:eastAsia="Times New Roman" w:hAnsi="Arial"/>
        <w:b w:val="0"/>
        <w:i w:val="0"/>
        <w:strike w:val="0"/>
        <w:dstrike w:val="0"/>
        <w:color w:val="000000"/>
        <w:sz w:val="20"/>
        <w:u w:val="none" w:color="000000"/>
        <w:vertAlign w:val="baseline"/>
      </w:rPr>
    </w:lvl>
    <w:lvl w:ilvl="2" w:tplc="5ABA214C">
      <w:start w:val="1"/>
      <w:numFmt w:val="bullet"/>
      <w:lvlText w:val="▪"/>
      <w:lvlJc w:val="left"/>
      <w:pPr>
        <w:ind w:left="2175"/>
      </w:pPr>
      <w:rPr>
        <w:rFonts w:ascii="Arial" w:eastAsia="Times New Roman" w:hAnsi="Arial"/>
        <w:b w:val="0"/>
        <w:i w:val="0"/>
        <w:strike w:val="0"/>
        <w:dstrike w:val="0"/>
        <w:color w:val="000000"/>
        <w:sz w:val="20"/>
        <w:u w:val="none" w:color="000000"/>
        <w:vertAlign w:val="baseline"/>
      </w:rPr>
    </w:lvl>
    <w:lvl w:ilvl="3" w:tplc="B77A59E2">
      <w:start w:val="1"/>
      <w:numFmt w:val="bullet"/>
      <w:lvlText w:val="•"/>
      <w:lvlJc w:val="left"/>
      <w:pPr>
        <w:ind w:left="2895"/>
      </w:pPr>
      <w:rPr>
        <w:rFonts w:ascii="Arial" w:eastAsia="Times New Roman" w:hAnsi="Arial"/>
        <w:b w:val="0"/>
        <w:i w:val="0"/>
        <w:strike w:val="0"/>
        <w:dstrike w:val="0"/>
        <w:color w:val="000000"/>
        <w:sz w:val="20"/>
        <w:u w:val="none" w:color="000000"/>
        <w:vertAlign w:val="baseline"/>
      </w:rPr>
    </w:lvl>
    <w:lvl w:ilvl="4" w:tplc="C8980D1A">
      <w:start w:val="1"/>
      <w:numFmt w:val="bullet"/>
      <w:lvlText w:val="o"/>
      <w:lvlJc w:val="left"/>
      <w:pPr>
        <w:ind w:left="3615"/>
      </w:pPr>
      <w:rPr>
        <w:rFonts w:ascii="Arial" w:eastAsia="Times New Roman" w:hAnsi="Arial"/>
        <w:b w:val="0"/>
        <w:i w:val="0"/>
        <w:strike w:val="0"/>
        <w:dstrike w:val="0"/>
        <w:color w:val="000000"/>
        <w:sz w:val="20"/>
        <w:u w:val="none" w:color="000000"/>
        <w:vertAlign w:val="baseline"/>
      </w:rPr>
    </w:lvl>
    <w:lvl w:ilvl="5" w:tplc="E7C05E74">
      <w:start w:val="1"/>
      <w:numFmt w:val="bullet"/>
      <w:lvlText w:val="▪"/>
      <w:lvlJc w:val="left"/>
      <w:pPr>
        <w:ind w:left="4335"/>
      </w:pPr>
      <w:rPr>
        <w:rFonts w:ascii="Arial" w:eastAsia="Times New Roman" w:hAnsi="Arial"/>
        <w:b w:val="0"/>
        <w:i w:val="0"/>
        <w:strike w:val="0"/>
        <w:dstrike w:val="0"/>
        <w:color w:val="000000"/>
        <w:sz w:val="20"/>
        <w:u w:val="none" w:color="000000"/>
        <w:vertAlign w:val="baseline"/>
      </w:rPr>
    </w:lvl>
    <w:lvl w:ilvl="6" w:tplc="E87EDE7A">
      <w:start w:val="1"/>
      <w:numFmt w:val="bullet"/>
      <w:lvlText w:val="•"/>
      <w:lvlJc w:val="left"/>
      <w:pPr>
        <w:ind w:left="5055"/>
      </w:pPr>
      <w:rPr>
        <w:rFonts w:ascii="Arial" w:eastAsia="Times New Roman" w:hAnsi="Arial"/>
        <w:b w:val="0"/>
        <w:i w:val="0"/>
        <w:strike w:val="0"/>
        <w:dstrike w:val="0"/>
        <w:color w:val="000000"/>
        <w:sz w:val="20"/>
        <w:u w:val="none" w:color="000000"/>
        <w:vertAlign w:val="baseline"/>
      </w:rPr>
    </w:lvl>
    <w:lvl w:ilvl="7" w:tplc="8A9E4D36">
      <w:start w:val="1"/>
      <w:numFmt w:val="bullet"/>
      <w:lvlText w:val="o"/>
      <w:lvlJc w:val="left"/>
      <w:pPr>
        <w:ind w:left="5775"/>
      </w:pPr>
      <w:rPr>
        <w:rFonts w:ascii="Arial" w:eastAsia="Times New Roman" w:hAnsi="Arial"/>
        <w:b w:val="0"/>
        <w:i w:val="0"/>
        <w:strike w:val="0"/>
        <w:dstrike w:val="0"/>
        <w:color w:val="000000"/>
        <w:sz w:val="20"/>
        <w:u w:val="none" w:color="000000"/>
        <w:vertAlign w:val="baseline"/>
      </w:rPr>
    </w:lvl>
    <w:lvl w:ilvl="8" w:tplc="80A601B4">
      <w:start w:val="1"/>
      <w:numFmt w:val="bullet"/>
      <w:lvlText w:val="▪"/>
      <w:lvlJc w:val="left"/>
      <w:pPr>
        <w:ind w:left="6495"/>
      </w:pPr>
      <w:rPr>
        <w:rFonts w:ascii="Arial" w:eastAsia="Times New Roman" w:hAnsi="Arial"/>
        <w:b w:val="0"/>
        <w:i w:val="0"/>
        <w:strike w:val="0"/>
        <w:dstrike w:val="0"/>
        <w:color w:val="000000"/>
        <w:sz w:val="20"/>
        <w:u w:val="none" w:color="000000"/>
        <w:vertAlign w:val="baseline"/>
      </w:rPr>
    </w:lvl>
  </w:abstractNum>
  <w:abstractNum w:abstractNumId="1" w15:restartNumberingAfterBreak="0">
    <w:nsid w:val="01195619"/>
    <w:multiLevelType w:val="multilevel"/>
    <w:tmpl w:val="FFFFFFFF"/>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1537E17"/>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040C5D35"/>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04555185"/>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069E0C18"/>
    <w:multiLevelType w:val="hybridMultilevel"/>
    <w:tmpl w:val="FFFFFFFF"/>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87F0E8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D20C4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A4549F"/>
    <w:multiLevelType w:val="multilevel"/>
    <w:tmpl w:val="FFFFFFFF"/>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6E148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803384"/>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0CDE47FF"/>
    <w:multiLevelType w:val="hybridMultilevel"/>
    <w:tmpl w:val="FFFFFFFF"/>
    <w:lvl w:ilvl="0" w:tplc="04190001">
      <w:start w:val="1"/>
      <w:numFmt w:val="bullet"/>
      <w:lvlText w:val=""/>
      <w:lvlJc w:val="left"/>
      <w:pPr>
        <w:ind w:left="2432" w:hanging="360"/>
      </w:pPr>
      <w:rPr>
        <w:rFonts w:ascii="Symbol" w:hAnsi="Symbol" w:hint="default"/>
      </w:rPr>
    </w:lvl>
    <w:lvl w:ilvl="1" w:tplc="04190003" w:tentative="1">
      <w:start w:val="1"/>
      <w:numFmt w:val="bullet"/>
      <w:lvlText w:val="o"/>
      <w:lvlJc w:val="left"/>
      <w:pPr>
        <w:ind w:left="3152" w:hanging="360"/>
      </w:pPr>
      <w:rPr>
        <w:rFonts w:ascii="Courier New" w:hAnsi="Courier New" w:hint="default"/>
      </w:rPr>
    </w:lvl>
    <w:lvl w:ilvl="2" w:tplc="04190005" w:tentative="1">
      <w:start w:val="1"/>
      <w:numFmt w:val="bullet"/>
      <w:lvlText w:val=""/>
      <w:lvlJc w:val="left"/>
      <w:pPr>
        <w:ind w:left="3872" w:hanging="360"/>
      </w:pPr>
      <w:rPr>
        <w:rFonts w:ascii="Wingdings" w:hAnsi="Wingdings" w:hint="default"/>
      </w:rPr>
    </w:lvl>
    <w:lvl w:ilvl="3" w:tplc="04190001" w:tentative="1">
      <w:start w:val="1"/>
      <w:numFmt w:val="bullet"/>
      <w:lvlText w:val=""/>
      <w:lvlJc w:val="left"/>
      <w:pPr>
        <w:ind w:left="4592" w:hanging="360"/>
      </w:pPr>
      <w:rPr>
        <w:rFonts w:ascii="Symbol" w:hAnsi="Symbol" w:hint="default"/>
      </w:rPr>
    </w:lvl>
    <w:lvl w:ilvl="4" w:tplc="04190003" w:tentative="1">
      <w:start w:val="1"/>
      <w:numFmt w:val="bullet"/>
      <w:lvlText w:val="o"/>
      <w:lvlJc w:val="left"/>
      <w:pPr>
        <w:ind w:left="5312" w:hanging="360"/>
      </w:pPr>
      <w:rPr>
        <w:rFonts w:ascii="Courier New" w:hAnsi="Courier New" w:hint="default"/>
      </w:rPr>
    </w:lvl>
    <w:lvl w:ilvl="5" w:tplc="04190005" w:tentative="1">
      <w:start w:val="1"/>
      <w:numFmt w:val="bullet"/>
      <w:lvlText w:val=""/>
      <w:lvlJc w:val="left"/>
      <w:pPr>
        <w:ind w:left="6032" w:hanging="360"/>
      </w:pPr>
      <w:rPr>
        <w:rFonts w:ascii="Wingdings" w:hAnsi="Wingdings" w:hint="default"/>
      </w:rPr>
    </w:lvl>
    <w:lvl w:ilvl="6" w:tplc="04190001" w:tentative="1">
      <w:start w:val="1"/>
      <w:numFmt w:val="bullet"/>
      <w:lvlText w:val=""/>
      <w:lvlJc w:val="left"/>
      <w:pPr>
        <w:ind w:left="6752" w:hanging="360"/>
      </w:pPr>
      <w:rPr>
        <w:rFonts w:ascii="Symbol" w:hAnsi="Symbol" w:hint="default"/>
      </w:rPr>
    </w:lvl>
    <w:lvl w:ilvl="7" w:tplc="04190003" w:tentative="1">
      <w:start w:val="1"/>
      <w:numFmt w:val="bullet"/>
      <w:lvlText w:val="o"/>
      <w:lvlJc w:val="left"/>
      <w:pPr>
        <w:ind w:left="7472" w:hanging="360"/>
      </w:pPr>
      <w:rPr>
        <w:rFonts w:ascii="Courier New" w:hAnsi="Courier New" w:hint="default"/>
      </w:rPr>
    </w:lvl>
    <w:lvl w:ilvl="8" w:tplc="04190005" w:tentative="1">
      <w:start w:val="1"/>
      <w:numFmt w:val="bullet"/>
      <w:lvlText w:val=""/>
      <w:lvlJc w:val="left"/>
      <w:pPr>
        <w:ind w:left="8192" w:hanging="360"/>
      </w:pPr>
      <w:rPr>
        <w:rFonts w:ascii="Wingdings" w:hAnsi="Wingdings" w:hint="default"/>
      </w:rPr>
    </w:lvl>
  </w:abstractNum>
  <w:abstractNum w:abstractNumId="12" w15:restartNumberingAfterBreak="0">
    <w:nsid w:val="0D4F40F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001959"/>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12EF1F8D"/>
    <w:multiLevelType w:val="hybridMultilevel"/>
    <w:tmpl w:val="FFFFFFFF"/>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5" w15:restartNumberingAfterBreak="0">
    <w:nsid w:val="167C4F59"/>
    <w:multiLevelType w:val="hybridMultilevel"/>
    <w:tmpl w:val="FFFFFFFF"/>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6" w15:restartNumberingAfterBreak="0">
    <w:nsid w:val="1A6D6B21"/>
    <w:multiLevelType w:val="multilevel"/>
    <w:tmpl w:val="FFFFFFFF"/>
    <w:lvl w:ilvl="0">
      <w:start w:val="1"/>
      <w:numFmt w:val="bullet"/>
      <w:lvlText w:val=""/>
      <w:lvlPicBulletId w:val="1"/>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55343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864FCF"/>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15:restartNumberingAfterBreak="0">
    <w:nsid w:val="2212529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ABB7FA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DD0E11"/>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15:restartNumberingAfterBreak="0">
    <w:nsid w:val="3A1611D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A61BE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46C1FC6"/>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5" w15:restartNumberingAfterBreak="0">
    <w:nsid w:val="4678332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AB592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E41B4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FA9580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AA5C6E"/>
    <w:multiLevelType w:val="hybridMultilevel"/>
    <w:tmpl w:val="FFFFFFFF"/>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15:restartNumberingAfterBreak="0">
    <w:nsid w:val="518E781D"/>
    <w:multiLevelType w:val="multilevel"/>
    <w:tmpl w:val="FFFFFFFF"/>
    <w:lvl w:ilvl="0">
      <w:start w:val="1"/>
      <w:numFmt w:val="decimal"/>
      <w:lvlText w:val="%1."/>
      <w:lvlJc w:val="left"/>
      <w:pPr>
        <w:ind w:left="360" w:hanging="360"/>
      </w:pPr>
      <w:rPr>
        <w:rFonts w:cs="Times New Roman" w:hint="default"/>
        <w:sz w:val="20"/>
      </w:rPr>
    </w:lvl>
    <w:lvl w:ilvl="1">
      <w:start w:val="1"/>
      <w:numFmt w:val="decimal"/>
      <w:lvlText w:val="%1.%2."/>
      <w:lvlJc w:val="left"/>
      <w:pPr>
        <w:ind w:left="792" w:hanging="432"/>
      </w:pPr>
      <w:rPr>
        <w:rFonts w:cs="Times New Roman" w:hint="default"/>
        <w:sz w:val="20"/>
      </w:rPr>
    </w:lvl>
    <w:lvl w:ilvl="2">
      <w:start w:val="1"/>
      <w:numFmt w:val="decimal"/>
      <w:lvlText w:val="%1.%2.%3."/>
      <w:lvlJc w:val="left"/>
      <w:pPr>
        <w:ind w:left="1224" w:hanging="504"/>
      </w:pPr>
      <w:rPr>
        <w:rFonts w:cs="Times New Roman" w:hint="default"/>
        <w:sz w:val="20"/>
      </w:rPr>
    </w:lvl>
    <w:lvl w:ilvl="3">
      <w:start w:val="1"/>
      <w:numFmt w:val="decimal"/>
      <w:lvlText w:val="%1.%2.%3.%4."/>
      <w:lvlJc w:val="left"/>
      <w:pPr>
        <w:ind w:left="1728" w:hanging="648"/>
      </w:pPr>
      <w:rPr>
        <w:rFonts w:cs="Times New Roman" w:hint="default"/>
        <w:sz w:val="20"/>
      </w:rPr>
    </w:lvl>
    <w:lvl w:ilvl="4">
      <w:start w:val="1"/>
      <w:numFmt w:val="decimal"/>
      <w:lvlText w:val="%1.%2.%3.%4.%5."/>
      <w:lvlJc w:val="left"/>
      <w:pPr>
        <w:ind w:left="2232" w:hanging="792"/>
      </w:pPr>
      <w:rPr>
        <w:rFonts w:cs="Times New Roman" w:hint="default"/>
        <w:sz w:val="20"/>
      </w:rPr>
    </w:lvl>
    <w:lvl w:ilvl="5">
      <w:start w:val="1"/>
      <w:numFmt w:val="decimal"/>
      <w:lvlText w:val="%1.%2.%3.%4.%5.%6."/>
      <w:lvlJc w:val="left"/>
      <w:pPr>
        <w:ind w:left="2736" w:hanging="936"/>
      </w:pPr>
      <w:rPr>
        <w:rFonts w:cs="Times New Roman" w:hint="default"/>
        <w:sz w:val="20"/>
      </w:rPr>
    </w:lvl>
    <w:lvl w:ilvl="6">
      <w:start w:val="1"/>
      <w:numFmt w:val="decimal"/>
      <w:lvlText w:val="%1.%2.%3.%4.%5.%6.%7."/>
      <w:lvlJc w:val="left"/>
      <w:pPr>
        <w:ind w:left="3240" w:hanging="1080"/>
      </w:pPr>
      <w:rPr>
        <w:rFonts w:cs="Times New Roman" w:hint="default"/>
        <w:sz w:val="20"/>
      </w:rPr>
    </w:lvl>
    <w:lvl w:ilvl="7">
      <w:start w:val="1"/>
      <w:numFmt w:val="decimal"/>
      <w:lvlText w:val="%1.%2.%3.%4.%5.%6.%7.%8."/>
      <w:lvlJc w:val="left"/>
      <w:pPr>
        <w:ind w:left="3744" w:hanging="1224"/>
      </w:pPr>
      <w:rPr>
        <w:rFonts w:cs="Times New Roman" w:hint="default"/>
        <w:sz w:val="20"/>
      </w:rPr>
    </w:lvl>
    <w:lvl w:ilvl="8">
      <w:start w:val="1"/>
      <w:numFmt w:val="decimal"/>
      <w:lvlText w:val="%1.%2.%3.%4.%5.%6.%7.%8.%9."/>
      <w:lvlJc w:val="left"/>
      <w:pPr>
        <w:ind w:left="4320" w:hanging="1440"/>
      </w:pPr>
      <w:rPr>
        <w:rFonts w:cs="Times New Roman" w:hint="default"/>
        <w:sz w:val="20"/>
      </w:rPr>
    </w:lvl>
  </w:abstractNum>
  <w:abstractNum w:abstractNumId="31" w15:restartNumberingAfterBreak="0">
    <w:nsid w:val="535E07F7"/>
    <w:multiLevelType w:val="hybridMultilevel"/>
    <w:tmpl w:val="FFFFFFFF"/>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6472F8A"/>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3" w15:restartNumberingAfterBreak="0">
    <w:nsid w:val="5A826C3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8B2CF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02525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3D13BC"/>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7" w15:restartNumberingAfterBreak="0">
    <w:nsid w:val="62FF1308"/>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8" w15:restartNumberingAfterBreak="0">
    <w:nsid w:val="697621E3"/>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15:restartNumberingAfterBreak="0">
    <w:nsid w:val="6B683F5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0" w15:restartNumberingAfterBreak="0">
    <w:nsid w:val="6B7E18E3"/>
    <w:multiLevelType w:val="hybridMultilevel"/>
    <w:tmpl w:val="FFFFFFFF"/>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BC47DDA"/>
    <w:multiLevelType w:val="hybridMultilevel"/>
    <w:tmpl w:val="FFFFFFFF"/>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42" w15:restartNumberingAfterBreak="0">
    <w:nsid w:val="6C747955"/>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3" w15:restartNumberingAfterBreak="0">
    <w:nsid w:val="72946591"/>
    <w:multiLevelType w:val="hybridMultilevel"/>
    <w:tmpl w:val="FFFFFFFF"/>
    <w:lvl w:ilvl="0" w:tplc="3FE249BC">
      <w:start w:val="1"/>
      <w:numFmt w:val="bullet"/>
      <w:lvlText w:val="•"/>
      <w:lvlJc w:val="left"/>
      <w:pPr>
        <w:ind w:left="748"/>
      </w:pPr>
      <w:rPr>
        <w:rFonts w:ascii="Arial" w:eastAsia="Times New Roman" w:hAnsi="Arial"/>
        <w:b w:val="0"/>
        <w:i w:val="0"/>
        <w:strike w:val="0"/>
        <w:dstrike w:val="0"/>
        <w:color w:val="000000"/>
        <w:sz w:val="20"/>
        <w:u w:val="none" w:color="000000"/>
        <w:vertAlign w:val="baseline"/>
      </w:rPr>
    </w:lvl>
    <w:lvl w:ilvl="1" w:tplc="40BE10C4">
      <w:start w:val="1"/>
      <w:numFmt w:val="bullet"/>
      <w:lvlText w:val="o"/>
      <w:lvlJc w:val="left"/>
      <w:pPr>
        <w:ind w:left="1468"/>
      </w:pPr>
      <w:rPr>
        <w:rFonts w:ascii="Courier New" w:eastAsia="Times New Roman" w:hAnsi="Courier New"/>
        <w:b w:val="0"/>
        <w:i w:val="0"/>
        <w:strike w:val="0"/>
        <w:dstrike w:val="0"/>
        <w:color w:val="000000"/>
        <w:sz w:val="20"/>
        <w:u w:val="none" w:color="000000"/>
        <w:vertAlign w:val="baseline"/>
      </w:rPr>
    </w:lvl>
    <w:lvl w:ilvl="2" w:tplc="7860815E">
      <w:start w:val="1"/>
      <w:numFmt w:val="bullet"/>
      <w:lvlText w:val="▪"/>
      <w:lvlJc w:val="left"/>
      <w:pPr>
        <w:ind w:left="2174"/>
      </w:pPr>
      <w:rPr>
        <w:rFonts w:ascii="Courier New" w:eastAsia="Times New Roman" w:hAnsi="Courier New"/>
        <w:b w:val="0"/>
        <w:i w:val="0"/>
        <w:strike w:val="0"/>
        <w:dstrike w:val="0"/>
        <w:color w:val="000000"/>
        <w:sz w:val="20"/>
        <w:u w:val="none" w:color="000000"/>
        <w:vertAlign w:val="baseline"/>
      </w:rPr>
    </w:lvl>
    <w:lvl w:ilvl="3" w:tplc="8B0CB4F0">
      <w:start w:val="1"/>
      <w:numFmt w:val="bullet"/>
      <w:lvlText w:val="•"/>
      <w:lvlJc w:val="left"/>
      <w:pPr>
        <w:ind w:left="2894"/>
      </w:pPr>
      <w:rPr>
        <w:rFonts w:ascii="Courier New" w:eastAsia="Times New Roman" w:hAnsi="Courier New"/>
        <w:b w:val="0"/>
        <w:i w:val="0"/>
        <w:strike w:val="0"/>
        <w:dstrike w:val="0"/>
        <w:color w:val="000000"/>
        <w:sz w:val="20"/>
        <w:u w:val="none" w:color="000000"/>
        <w:vertAlign w:val="baseline"/>
      </w:rPr>
    </w:lvl>
    <w:lvl w:ilvl="4" w:tplc="D03ACC9E">
      <w:start w:val="1"/>
      <w:numFmt w:val="bullet"/>
      <w:lvlText w:val="o"/>
      <w:lvlJc w:val="left"/>
      <w:pPr>
        <w:ind w:left="3614"/>
      </w:pPr>
      <w:rPr>
        <w:rFonts w:ascii="Courier New" w:eastAsia="Times New Roman" w:hAnsi="Courier New"/>
        <w:b w:val="0"/>
        <w:i w:val="0"/>
        <w:strike w:val="0"/>
        <w:dstrike w:val="0"/>
        <w:color w:val="000000"/>
        <w:sz w:val="20"/>
        <w:u w:val="none" w:color="000000"/>
        <w:vertAlign w:val="baseline"/>
      </w:rPr>
    </w:lvl>
    <w:lvl w:ilvl="5" w:tplc="5B5C3B72">
      <w:start w:val="1"/>
      <w:numFmt w:val="bullet"/>
      <w:lvlText w:val="▪"/>
      <w:lvlJc w:val="left"/>
      <w:pPr>
        <w:ind w:left="4334"/>
      </w:pPr>
      <w:rPr>
        <w:rFonts w:ascii="Courier New" w:eastAsia="Times New Roman" w:hAnsi="Courier New"/>
        <w:b w:val="0"/>
        <w:i w:val="0"/>
        <w:strike w:val="0"/>
        <w:dstrike w:val="0"/>
        <w:color w:val="000000"/>
        <w:sz w:val="20"/>
        <w:u w:val="none" w:color="000000"/>
        <w:vertAlign w:val="baseline"/>
      </w:rPr>
    </w:lvl>
    <w:lvl w:ilvl="6" w:tplc="18700592">
      <w:start w:val="1"/>
      <w:numFmt w:val="bullet"/>
      <w:lvlText w:val="•"/>
      <w:lvlJc w:val="left"/>
      <w:pPr>
        <w:ind w:left="5054"/>
      </w:pPr>
      <w:rPr>
        <w:rFonts w:ascii="Courier New" w:eastAsia="Times New Roman" w:hAnsi="Courier New"/>
        <w:b w:val="0"/>
        <w:i w:val="0"/>
        <w:strike w:val="0"/>
        <w:dstrike w:val="0"/>
        <w:color w:val="000000"/>
        <w:sz w:val="20"/>
        <w:u w:val="none" w:color="000000"/>
        <w:vertAlign w:val="baseline"/>
      </w:rPr>
    </w:lvl>
    <w:lvl w:ilvl="7" w:tplc="12547B36">
      <w:start w:val="1"/>
      <w:numFmt w:val="bullet"/>
      <w:lvlText w:val="o"/>
      <w:lvlJc w:val="left"/>
      <w:pPr>
        <w:ind w:left="5774"/>
      </w:pPr>
      <w:rPr>
        <w:rFonts w:ascii="Courier New" w:eastAsia="Times New Roman" w:hAnsi="Courier New"/>
        <w:b w:val="0"/>
        <w:i w:val="0"/>
        <w:strike w:val="0"/>
        <w:dstrike w:val="0"/>
        <w:color w:val="000000"/>
        <w:sz w:val="20"/>
        <w:u w:val="none" w:color="000000"/>
        <w:vertAlign w:val="baseline"/>
      </w:rPr>
    </w:lvl>
    <w:lvl w:ilvl="8" w:tplc="39524A2A">
      <w:start w:val="1"/>
      <w:numFmt w:val="bullet"/>
      <w:lvlText w:val="▪"/>
      <w:lvlJc w:val="left"/>
      <w:pPr>
        <w:ind w:left="6494"/>
      </w:pPr>
      <w:rPr>
        <w:rFonts w:ascii="Courier New" w:eastAsia="Times New Roman" w:hAnsi="Courier New"/>
        <w:b w:val="0"/>
        <w:i w:val="0"/>
        <w:strike w:val="0"/>
        <w:dstrike w:val="0"/>
        <w:color w:val="000000"/>
        <w:sz w:val="20"/>
        <w:u w:val="none" w:color="000000"/>
        <w:vertAlign w:val="baseline"/>
      </w:rPr>
    </w:lvl>
  </w:abstractNum>
  <w:abstractNum w:abstractNumId="44" w15:restartNumberingAfterBreak="0">
    <w:nsid w:val="77B23F73"/>
    <w:multiLevelType w:val="multilevel"/>
    <w:tmpl w:val="FFFFFFFF"/>
    <w:lvl w:ilvl="0">
      <w:start w:val="1"/>
      <w:numFmt w:val="decimal"/>
      <w:lvlText w:val="%1."/>
      <w:lvlJc w:val="left"/>
      <w:pPr>
        <w:ind w:left="440" w:hanging="440"/>
      </w:pPr>
      <w:rPr>
        <w:rFonts w:cs="Times New Roman" w:hint="default"/>
      </w:rPr>
    </w:lvl>
    <w:lvl w:ilvl="1">
      <w:start w:val="1"/>
      <w:numFmt w:val="decimal"/>
      <w:lvlText w:val="%1.%2."/>
      <w:lvlJc w:val="left"/>
      <w:pPr>
        <w:ind w:left="780" w:hanging="720"/>
      </w:pPr>
      <w:rPr>
        <w:rFonts w:cs="Times New Roman" w:hint="default"/>
      </w:rPr>
    </w:lvl>
    <w:lvl w:ilvl="2">
      <w:start w:val="1"/>
      <w:numFmt w:val="decimal"/>
      <w:lvlText w:val="%1.%2.%3."/>
      <w:lvlJc w:val="left"/>
      <w:pPr>
        <w:ind w:left="840" w:hanging="720"/>
      </w:pPr>
      <w:rPr>
        <w:rFonts w:cs="Times New Roman" w:hint="default"/>
      </w:rPr>
    </w:lvl>
    <w:lvl w:ilvl="3">
      <w:start w:val="1"/>
      <w:numFmt w:val="decimal"/>
      <w:lvlText w:val="%1.%2.%3.%4."/>
      <w:lvlJc w:val="left"/>
      <w:pPr>
        <w:ind w:left="1260" w:hanging="1080"/>
      </w:pPr>
      <w:rPr>
        <w:rFonts w:cs="Times New Roman" w:hint="default"/>
      </w:rPr>
    </w:lvl>
    <w:lvl w:ilvl="4">
      <w:start w:val="1"/>
      <w:numFmt w:val="decimal"/>
      <w:lvlText w:val="%1.%2.%3.%4.%5."/>
      <w:lvlJc w:val="left"/>
      <w:pPr>
        <w:ind w:left="1320" w:hanging="1080"/>
      </w:pPr>
      <w:rPr>
        <w:rFonts w:cs="Times New Roman" w:hint="default"/>
      </w:rPr>
    </w:lvl>
    <w:lvl w:ilvl="5">
      <w:start w:val="1"/>
      <w:numFmt w:val="decimal"/>
      <w:lvlText w:val="%1.%2.%3.%4.%5.%6."/>
      <w:lvlJc w:val="left"/>
      <w:pPr>
        <w:ind w:left="1740" w:hanging="1440"/>
      </w:pPr>
      <w:rPr>
        <w:rFonts w:cs="Times New Roman" w:hint="default"/>
      </w:rPr>
    </w:lvl>
    <w:lvl w:ilvl="6">
      <w:start w:val="1"/>
      <w:numFmt w:val="decimal"/>
      <w:lvlText w:val="%1.%2.%3.%4.%5.%6.%7."/>
      <w:lvlJc w:val="left"/>
      <w:pPr>
        <w:ind w:left="2160" w:hanging="1800"/>
      </w:pPr>
      <w:rPr>
        <w:rFonts w:cs="Times New Roman" w:hint="default"/>
      </w:rPr>
    </w:lvl>
    <w:lvl w:ilvl="7">
      <w:start w:val="1"/>
      <w:numFmt w:val="decimal"/>
      <w:lvlText w:val="%1.%2.%3.%4.%5.%6.%7.%8."/>
      <w:lvlJc w:val="left"/>
      <w:pPr>
        <w:ind w:left="2220" w:hanging="1800"/>
      </w:pPr>
      <w:rPr>
        <w:rFonts w:cs="Times New Roman" w:hint="default"/>
      </w:rPr>
    </w:lvl>
    <w:lvl w:ilvl="8">
      <w:start w:val="1"/>
      <w:numFmt w:val="decimal"/>
      <w:lvlText w:val="%1.%2.%3.%4.%5.%6.%7.%8.%9."/>
      <w:lvlJc w:val="left"/>
      <w:pPr>
        <w:ind w:left="2640" w:hanging="2160"/>
      </w:pPr>
      <w:rPr>
        <w:rFonts w:cs="Times New Roman" w:hint="default"/>
      </w:rPr>
    </w:lvl>
  </w:abstractNum>
  <w:abstractNum w:abstractNumId="45" w15:restartNumberingAfterBreak="0">
    <w:nsid w:val="7EF3030A"/>
    <w:multiLevelType w:val="hybridMultilevel"/>
    <w:tmpl w:val="FFFFFFFF"/>
    <w:lvl w:ilvl="0" w:tplc="B5CA7DCC">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35"/>
  </w:num>
  <w:num w:numId="3">
    <w:abstractNumId w:val="26"/>
  </w:num>
  <w:num w:numId="4">
    <w:abstractNumId w:val="9"/>
  </w:num>
  <w:num w:numId="5">
    <w:abstractNumId w:val="17"/>
  </w:num>
  <w:num w:numId="6">
    <w:abstractNumId w:val="20"/>
  </w:num>
  <w:num w:numId="7">
    <w:abstractNumId w:val="28"/>
  </w:num>
  <w:num w:numId="8">
    <w:abstractNumId w:val="18"/>
  </w:num>
  <w:num w:numId="9">
    <w:abstractNumId w:val="8"/>
  </w:num>
  <w:num w:numId="10">
    <w:abstractNumId w:val="4"/>
  </w:num>
  <w:num w:numId="11">
    <w:abstractNumId w:val="16"/>
  </w:num>
  <w:num w:numId="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num>
  <w:num w:numId="14">
    <w:abstractNumId w:val="29"/>
  </w:num>
  <w:num w:numId="15">
    <w:abstractNumId w:val="5"/>
  </w:num>
  <w:num w:numId="16">
    <w:abstractNumId w:val="45"/>
  </w:num>
  <w:num w:numId="17">
    <w:abstractNumId w:val="11"/>
  </w:num>
  <w:num w:numId="18">
    <w:abstractNumId w:val="14"/>
  </w:num>
  <w:num w:numId="19">
    <w:abstractNumId w:val="7"/>
    <w:lvlOverride w:ilvl="0"/>
    <w:lvlOverride w:ilvl="1"/>
    <w:lvlOverride w:ilvl="2"/>
    <w:lvlOverride w:ilvl="3"/>
    <w:lvlOverride w:ilvl="4"/>
    <w:lvlOverride w:ilvl="5"/>
    <w:lvlOverride w:ilvl="6"/>
    <w:lvlOverride w:ilvl="7"/>
    <w:lvlOverride w:ilvl="8"/>
  </w:num>
  <w:num w:numId="20">
    <w:abstractNumId w:val="34"/>
    <w:lvlOverride w:ilvl="0"/>
    <w:lvlOverride w:ilvl="1"/>
    <w:lvlOverride w:ilvl="2"/>
    <w:lvlOverride w:ilvl="3"/>
    <w:lvlOverride w:ilvl="4"/>
    <w:lvlOverride w:ilvl="5"/>
    <w:lvlOverride w:ilvl="6"/>
    <w:lvlOverride w:ilvl="7"/>
    <w:lvlOverride w:ilvl="8"/>
  </w:num>
  <w:num w:numId="21">
    <w:abstractNumId w:val="6"/>
  </w:num>
  <w:num w:numId="22">
    <w:abstractNumId w:val="23"/>
  </w:num>
  <w:num w:numId="23">
    <w:abstractNumId w:val="12"/>
  </w:num>
  <w:num w:numId="24">
    <w:abstractNumId w:val="39"/>
  </w:num>
  <w:num w:numId="25">
    <w:abstractNumId w:val="36"/>
  </w:num>
  <w:num w:numId="26">
    <w:abstractNumId w:val="42"/>
  </w:num>
  <w:num w:numId="27">
    <w:abstractNumId w:val="3"/>
  </w:num>
  <w:num w:numId="28">
    <w:abstractNumId w:val="19"/>
  </w:num>
  <w:num w:numId="29">
    <w:abstractNumId w:val="27"/>
  </w:num>
  <w:num w:numId="30">
    <w:abstractNumId w:val="33"/>
  </w:num>
  <w:num w:numId="31">
    <w:abstractNumId w:val="13"/>
  </w:num>
  <w:num w:numId="32">
    <w:abstractNumId w:val="24"/>
  </w:num>
  <w:num w:numId="33">
    <w:abstractNumId w:val="2"/>
  </w:num>
  <w:num w:numId="34">
    <w:abstractNumId w:val="32"/>
  </w:num>
  <w:num w:numId="35">
    <w:abstractNumId w:val="25"/>
  </w:num>
  <w:num w:numId="36">
    <w:abstractNumId w:val="1"/>
  </w:num>
  <w:num w:numId="37">
    <w:abstractNumId w:val="43"/>
  </w:num>
  <w:num w:numId="38">
    <w:abstractNumId w:val="0"/>
  </w:num>
  <w:num w:numId="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1"/>
  </w:num>
  <w:num w:numId="45">
    <w:abstractNumId w:val="15"/>
  </w:num>
  <w:num w:numId="46">
    <w:abstractNumId w:val="40"/>
  </w:num>
  <w:num w:numId="4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9"/>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4AA"/>
    <w:rsid w:val="00003494"/>
    <w:rsid w:val="000040F5"/>
    <w:rsid w:val="00005B03"/>
    <w:rsid w:val="00014548"/>
    <w:rsid w:val="000153D5"/>
    <w:rsid w:val="0001565F"/>
    <w:rsid w:val="00016633"/>
    <w:rsid w:val="00023A98"/>
    <w:rsid w:val="00027E36"/>
    <w:rsid w:val="000369C5"/>
    <w:rsid w:val="00040FAD"/>
    <w:rsid w:val="00043A89"/>
    <w:rsid w:val="00045BE4"/>
    <w:rsid w:val="00052AC7"/>
    <w:rsid w:val="000551E7"/>
    <w:rsid w:val="00060B37"/>
    <w:rsid w:val="00065DAE"/>
    <w:rsid w:val="00075417"/>
    <w:rsid w:val="00076A25"/>
    <w:rsid w:val="000857C0"/>
    <w:rsid w:val="00090E05"/>
    <w:rsid w:val="000A0D51"/>
    <w:rsid w:val="000A7843"/>
    <w:rsid w:val="000B06FC"/>
    <w:rsid w:val="000B1F03"/>
    <w:rsid w:val="000B2F1B"/>
    <w:rsid w:val="000B48D5"/>
    <w:rsid w:val="000B5CC6"/>
    <w:rsid w:val="000C0C29"/>
    <w:rsid w:val="000C3BE5"/>
    <w:rsid w:val="000C628C"/>
    <w:rsid w:val="000D6285"/>
    <w:rsid w:val="000D770B"/>
    <w:rsid w:val="000E0519"/>
    <w:rsid w:val="000E1063"/>
    <w:rsid w:val="000E5E9F"/>
    <w:rsid w:val="000E65D0"/>
    <w:rsid w:val="000F1E48"/>
    <w:rsid w:val="0010425E"/>
    <w:rsid w:val="00112258"/>
    <w:rsid w:val="00115FEE"/>
    <w:rsid w:val="00125DDF"/>
    <w:rsid w:val="00126560"/>
    <w:rsid w:val="00127A3D"/>
    <w:rsid w:val="001302AB"/>
    <w:rsid w:val="00132C8E"/>
    <w:rsid w:val="001362A4"/>
    <w:rsid w:val="00137B14"/>
    <w:rsid w:val="0014155C"/>
    <w:rsid w:val="00143ADD"/>
    <w:rsid w:val="001509A2"/>
    <w:rsid w:val="00153C69"/>
    <w:rsid w:val="00154CAF"/>
    <w:rsid w:val="001657FE"/>
    <w:rsid w:val="00167C61"/>
    <w:rsid w:val="0017108B"/>
    <w:rsid w:val="0017179F"/>
    <w:rsid w:val="00171903"/>
    <w:rsid w:val="00172140"/>
    <w:rsid w:val="00175B67"/>
    <w:rsid w:val="0017667A"/>
    <w:rsid w:val="00177987"/>
    <w:rsid w:val="0019242D"/>
    <w:rsid w:val="001927D8"/>
    <w:rsid w:val="00194C75"/>
    <w:rsid w:val="001A4832"/>
    <w:rsid w:val="001B3001"/>
    <w:rsid w:val="001B5983"/>
    <w:rsid w:val="001C0B4A"/>
    <w:rsid w:val="001C5809"/>
    <w:rsid w:val="001D145D"/>
    <w:rsid w:val="001D26B1"/>
    <w:rsid w:val="001E6BF9"/>
    <w:rsid w:val="001E6F69"/>
    <w:rsid w:val="001E71C0"/>
    <w:rsid w:val="001E780B"/>
    <w:rsid w:val="001E7A7C"/>
    <w:rsid w:val="001E7CF0"/>
    <w:rsid w:val="00206B5B"/>
    <w:rsid w:val="0020755F"/>
    <w:rsid w:val="00210305"/>
    <w:rsid w:val="0021043B"/>
    <w:rsid w:val="00211155"/>
    <w:rsid w:val="002137E0"/>
    <w:rsid w:val="00216BF2"/>
    <w:rsid w:val="00216FC3"/>
    <w:rsid w:val="00221F89"/>
    <w:rsid w:val="00235B37"/>
    <w:rsid w:val="00236961"/>
    <w:rsid w:val="00237EBB"/>
    <w:rsid w:val="00245D8B"/>
    <w:rsid w:val="00250440"/>
    <w:rsid w:val="00260CEC"/>
    <w:rsid w:val="002626EB"/>
    <w:rsid w:val="0026400F"/>
    <w:rsid w:val="00266B39"/>
    <w:rsid w:val="0027015E"/>
    <w:rsid w:val="00270976"/>
    <w:rsid w:val="00272E25"/>
    <w:rsid w:val="00273335"/>
    <w:rsid w:val="00275F75"/>
    <w:rsid w:val="00276725"/>
    <w:rsid w:val="0028003D"/>
    <w:rsid w:val="0028086E"/>
    <w:rsid w:val="002879E0"/>
    <w:rsid w:val="00287E98"/>
    <w:rsid w:val="0029193C"/>
    <w:rsid w:val="00293C31"/>
    <w:rsid w:val="00295FDD"/>
    <w:rsid w:val="002A14DA"/>
    <w:rsid w:val="002A21C0"/>
    <w:rsid w:val="002A40FB"/>
    <w:rsid w:val="002A4CC8"/>
    <w:rsid w:val="002A5D24"/>
    <w:rsid w:val="002B1143"/>
    <w:rsid w:val="002B1D30"/>
    <w:rsid w:val="002C2068"/>
    <w:rsid w:val="002C2F75"/>
    <w:rsid w:val="002C4CC1"/>
    <w:rsid w:val="002D0AEA"/>
    <w:rsid w:val="002D3181"/>
    <w:rsid w:val="002D3599"/>
    <w:rsid w:val="002D7378"/>
    <w:rsid w:val="002E0F8E"/>
    <w:rsid w:val="002E17B5"/>
    <w:rsid w:val="002E25A8"/>
    <w:rsid w:val="002E6B57"/>
    <w:rsid w:val="002F1494"/>
    <w:rsid w:val="002F3448"/>
    <w:rsid w:val="003114F7"/>
    <w:rsid w:val="00313F70"/>
    <w:rsid w:val="00322ACD"/>
    <w:rsid w:val="00324C0A"/>
    <w:rsid w:val="00326B27"/>
    <w:rsid w:val="00333CA4"/>
    <w:rsid w:val="00336FE8"/>
    <w:rsid w:val="003466E1"/>
    <w:rsid w:val="00347A67"/>
    <w:rsid w:val="00347D41"/>
    <w:rsid w:val="003515E0"/>
    <w:rsid w:val="00353D53"/>
    <w:rsid w:val="003558BF"/>
    <w:rsid w:val="00360395"/>
    <w:rsid w:val="003660E7"/>
    <w:rsid w:val="00367F02"/>
    <w:rsid w:val="0037195A"/>
    <w:rsid w:val="00373042"/>
    <w:rsid w:val="00376F86"/>
    <w:rsid w:val="003813F8"/>
    <w:rsid w:val="00386EB5"/>
    <w:rsid w:val="00387217"/>
    <w:rsid w:val="003902F6"/>
    <w:rsid w:val="00396496"/>
    <w:rsid w:val="003A26C5"/>
    <w:rsid w:val="003A3160"/>
    <w:rsid w:val="003A5299"/>
    <w:rsid w:val="003A5A63"/>
    <w:rsid w:val="003A64E3"/>
    <w:rsid w:val="003B0759"/>
    <w:rsid w:val="003B3674"/>
    <w:rsid w:val="003B4AB3"/>
    <w:rsid w:val="003B7FB7"/>
    <w:rsid w:val="003C5806"/>
    <w:rsid w:val="003C6757"/>
    <w:rsid w:val="003C6851"/>
    <w:rsid w:val="003D1F74"/>
    <w:rsid w:val="003D3742"/>
    <w:rsid w:val="003E53A0"/>
    <w:rsid w:val="003F0F10"/>
    <w:rsid w:val="003F31BD"/>
    <w:rsid w:val="0040122D"/>
    <w:rsid w:val="00404B5D"/>
    <w:rsid w:val="00410B19"/>
    <w:rsid w:val="00412B09"/>
    <w:rsid w:val="004130D8"/>
    <w:rsid w:val="00421E9C"/>
    <w:rsid w:val="004248DE"/>
    <w:rsid w:val="004266E4"/>
    <w:rsid w:val="00436D25"/>
    <w:rsid w:val="00437017"/>
    <w:rsid w:val="00440FC4"/>
    <w:rsid w:val="00441872"/>
    <w:rsid w:val="004441ED"/>
    <w:rsid w:val="004539E2"/>
    <w:rsid w:val="00453B27"/>
    <w:rsid w:val="00454466"/>
    <w:rsid w:val="004562A4"/>
    <w:rsid w:val="00460425"/>
    <w:rsid w:val="0046109D"/>
    <w:rsid w:val="00464A37"/>
    <w:rsid w:val="004661FB"/>
    <w:rsid w:val="00467A8E"/>
    <w:rsid w:val="00470F57"/>
    <w:rsid w:val="004714CA"/>
    <w:rsid w:val="004714E5"/>
    <w:rsid w:val="00473A9F"/>
    <w:rsid w:val="00477202"/>
    <w:rsid w:val="00480C1D"/>
    <w:rsid w:val="004818E3"/>
    <w:rsid w:val="00487AE4"/>
    <w:rsid w:val="004914FC"/>
    <w:rsid w:val="0049197D"/>
    <w:rsid w:val="0049234D"/>
    <w:rsid w:val="004925FA"/>
    <w:rsid w:val="0049286F"/>
    <w:rsid w:val="00496E57"/>
    <w:rsid w:val="00497271"/>
    <w:rsid w:val="004A7301"/>
    <w:rsid w:val="004B0F91"/>
    <w:rsid w:val="004B4DA1"/>
    <w:rsid w:val="004B5B16"/>
    <w:rsid w:val="004C0311"/>
    <w:rsid w:val="004C50B5"/>
    <w:rsid w:val="004C6DF5"/>
    <w:rsid w:val="004C7975"/>
    <w:rsid w:val="004D0EEF"/>
    <w:rsid w:val="004D2BED"/>
    <w:rsid w:val="004D582E"/>
    <w:rsid w:val="004E21A3"/>
    <w:rsid w:val="004E6410"/>
    <w:rsid w:val="004F0968"/>
    <w:rsid w:val="004F2364"/>
    <w:rsid w:val="004F25C3"/>
    <w:rsid w:val="004F3919"/>
    <w:rsid w:val="004F7018"/>
    <w:rsid w:val="004F7660"/>
    <w:rsid w:val="004F7C4F"/>
    <w:rsid w:val="0050513B"/>
    <w:rsid w:val="00511C82"/>
    <w:rsid w:val="0051281B"/>
    <w:rsid w:val="00515005"/>
    <w:rsid w:val="005167DA"/>
    <w:rsid w:val="005174D4"/>
    <w:rsid w:val="00521A25"/>
    <w:rsid w:val="00526E91"/>
    <w:rsid w:val="0053196C"/>
    <w:rsid w:val="00532004"/>
    <w:rsid w:val="00533BB7"/>
    <w:rsid w:val="00535516"/>
    <w:rsid w:val="00536506"/>
    <w:rsid w:val="00540466"/>
    <w:rsid w:val="005429F5"/>
    <w:rsid w:val="00542C78"/>
    <w:rsid w:val="00543811"/>
    <w:rsid w:val="00544B56"/>
    <w:rsid w:val="00546465"/>
    <w:rsid w:val="005466B9"/>
    <w:rsid w:val="005470F7"/>
    <w:rsid w:val="0055111F"/>
    <w:rsid w:val="005526F7"/>
    <w:rsid w:val="0056079F"/>
    <w:rsid w:val="00561B95"/>
    <w:rsid w:val="00562DBA"/>
    <w:rsid w:val="005647DE"/>
    <w:rsid w:val="0056528D"/>
    <w:rsid w:val="005736D4"/>
    <w:rsid w:val="00573C91"/>
    <w:rsid w:val="00583A2D"/>
    <w:rsid w:val="00587240"/>
    <w:rsid w:val="00591A7C"/>
    <w:rsid w:val="00594E3D"/>
    <w:rsid w:val="00597E3A"/>
    <w:rsid w:val="005A5D26"/>
    <w:rsid w:val="005A6350"/>
    <w:rsid w:val="005B203C"/>
    <w:rsid w:val="005C2583"/>
    <w:rsid w:val="005C7024"/>
    <w:rsid w:val="005D06E8"/>
    <w:rsid w:val="005D5EA3"/>
    <w:rsid w:val="005D5F75"/>
    <w:rsid w:val="005D7D50"/>
    <w:rsid w:val="005E172E"/>
    <w:rsid w:val="005E1873"/>
    <w:rsid w:val="005E217B"/>
    <w:rsid w:val="005E3D18"/>
    <w:rsid w:val="005E4B93"/>
    <w:rsid w:val="005E72AC"/>
    <w:rsid w:val="005F37B2"/>
    <w:rsid w:val="005F721B"/>
    <w:rsid w:val="00600366"/>
    <w:rsid w:val="00600AFD"/>
    <w:rsid w:val="00601FB0"/>
    <w:rsid w:val="006033C0"/>
    <w:rsid w:val="00607089"/>
    <w:rsid w:val="0060708C"/>
    <w:rsid w:val="00611110"/>
    <w:rsid w:val="0061582F"/>
    <w:rsid w:val="00624A29"/>
    <w:rsid w:val="0062792E"/>
    <w:rsid w:val="00627D74"/>
    <w:rsid w:val="00632015"/>
    <w:rsid w:val="00635415"/>
    <w:rsid w:val="00635455"/>
    <w:rsid w:val="0063741B"/>
    <w:rsid w:val="00640C4F"/>
    <w:rsid w:val="0064138C"/>
    <w:rsid w:val="00642791"/>
    <w:rsid w:val="0064403B"/>
    <w:rsid w:val="00650244"/>
    <w:rsid w:val="00655088"/>
    <w:rsid w:val="00657E52"/>
    <w:rsid w:val="006644C4"/>
    <w:rsid w:val="00665737"/>
    <w:rsid w:val="00665A16"/>
    <w:rsid w:val="006728FF"/>
    <w:rsid w:val="00673396"/>
    <w:rsid w:val="00676DC3"/>
    <w:rsid w:val="00681B9F"/>
    <w:rsid w:val="00686F18"/>
    <w:rsid w:val="0068792F"/>
    <w:rsid w:val="00695FC9"/>
    <w:rsid w:val="00697424"/>
    <w:rsid w:val="006A2306"/>
    <w:rsid w:val="006A4211"/>
    <w:rsid w:val="006A6CC5"/>
    <w:rsid w:val="006A6D55"/>
    <w:rsid w:val="006B022A"/>
    <w:rsid w:val="006B1087"/>
    <w:rsid w:val="006B1BC7"/>
    <w:rsid w:val="006B2C45"/>
    <w:rsid w:val="006B2C6A"/>
    <w:rsid w:val="006B2F71"/>
    <w:rsid w:val="006B4848"/>
    <w:rsid w:val="006B4EEE"/>
    <w:rsid w:val="006B716E"/>
    <w:rsid w:val="006C1941"/>
    <w:rsid w:val="006C1F9A"/>
    <w:rsid w:val="006C4B46"/>
    <w:rsid w:val="006C5675"/>
    <w:rsid w:val="006D01D2"/>
    <w:rsid w:val="006D1ECF"/>
    <w:rsid w:val="006D343B"/>
    <w:rsid w:val="006D5337"/>
    <w:rsid w:val="006E3F6A"/>
    <w:rsid w:val="006E6B9B"/>
    <w:rsid w:val="006F58B8"/>
    <w:rsid w:val="006F624F"/>
    <w:rsid w:val="006F6901"/>
    <w:rsid w:val="0070309D"/>
    <w:rsid w:val="007039F4"/>
    <w:rsid w:val="00705033"/>
    <w:rsid w:val="0070539C"/>
    <w:rsid w:val="007066E3"/>
    <w:rsid w:val="0070781C"/>
    <w:rsid w:val="00711B50"/>
    <w:rsid w:val="007121AE"/>
    <w:rsid w:val="00717BC1"/>
    <w:rsid w:val="00721E9D"/>
    <w:rsid w:val="00723EDF"/>
    <w:rsid w:val="00724172"/>
    <w:rsid w:val="00727DA1"/>
    <w:rsid w:val="00727EDD"/>
    <w:rsid w:val="007371BA"/>
    <w:rsid w:val="0074313C"/>
    <w:rsid w:val="0074422C"/>
    <w:rsid w:val="0074734B"/>
    <w:rsid w:val="00751CDC"/>
    <w:rsid w:val="00752203"/>
    <w:rsid w:val="0075234A"/>
    <w:rsid w:val="0075415C"/>
    <w:rsid w:val="00755322"/>
    <w:rsid w:val="00766B51"/>
    <w:rsid w:val="00766ED1"/>
    <w:rsid w:val="007713E5"/>
    <w:rsid w:val="00771615"/>
    <w:rsid w:val="00771BD4"/>
    <w:rsid w:val="00772AB4"/>
    <w:rsid w:val="00772DA8"/>
    <w:rsid w:val="0077359E"/>
    <w:rsid w:val="00783065"/>
    <w:rsid w:val="007875DF"/>
    <w:rsid w:val="00790001"/>
    <w:rsid w:val="00790F4D"/>
    <w:rsid w:val="00791972"/>
    <w:rsid w:val="00793FE6"/>
    <w:rsid w:val="00794F0D"/>
    <w:rsid w:val="007962B4"/>
    <w:rsid w:val="007A313F"/>
    <w:rsid w:val="007A7933"/>
    <w:rsid w:val="007B009C"/>
    <w:rsid w:val="007B0A82"/>
    <w:rsid w:val="007B138F"/>
    <w:rsid w:val="007B4541"/>
    <w:rsid w:val="007B709F"/>
    <w:rsid w:val="007C0AAE"/>
    <w:rsid w:val="007C0C03"/>
    <w:rsid w:val="007C1E04"/>
    <w:rsid w:val="007C1EB3"/>
    <w:rsid w:val="007C31E2"/>
    <w:rsid w:val="007C3288"/>
    <w:rsid w:val="007C4555"/>
    <w:rsid w:val="007C472E"/>
    <w:rsid w:val="007D0F3C"/>
    <w:rsid w:val="007D17B5"/>
    <w:rsid w:val="007D66ED"/>
    <w:rsid w:val="007E1173"/>
    <w:rsid w:val="007E16A5"/>
    <w:rsid w:val="007E31DA"/>
    <w:rsid w:val="007F5A9E"/>
    <w:rsid w:val="00803852"/>
    <w:rsid w:val="00803C9E"/>
    <w:rsid w:val="00810C2D"/>
    <w:rsid w:val="00810E45"/>
    <w:rsid w:val="00812B99"/>
    <w:rsid w:val="008139B9"/>
    <w:rsid w:val="00813EDE"/>
    <w:rsid w:val="008152AE"/>
    <w:rsid w:val="0081727A"/>
    <w:rsid w:val="00817C0F"/>
    <w:rsid w:val="00820F4F"/>
    <w:rsid w:val="00822D8C"/>
    <w:rsid w:val="00824407"/>
    <w:rsid w:val="008315B0"/>
    <w:rsid w:val="00832469"/>
    <w:rsid w:val="00834FEE"/>
    <w:rsid w:val="0084025D"/>
    <w:rsid w:val="008502AE"/>
    <w:rsid w:val="008504ED"/>
    <w:rsid w:val="00855696"/>
    <w:rsid w:val="00861284"/>
    <w:rsid w:val="00862123"/>
    <w:rsid w:val="00863934"/>
    <w:rsid w:val="00863FB6"/>
    <w:rsid w:val="0086447E"/>
    <w:rsid w:val="00867515"/>
    <w:rsid w:val="00872A0C"/>
    <w:rsid w:val="00873584"/>
    <w:rsid w:val="00873E1D"/>
    <w:rsid w:val="00875389"/>
    <w:rsid w:val="00877C71"/>
    <w:rsid w:val="00885826"/>
    <w:rsid w:val="00886029"/>
    <w:rsid w:val="0089232E"/>
    <w:rsid w:val="008929FE"/>
    <w:rsid w:val="00896101"/>
    <w:rsid w:val="0089658A"/>
    <w:rsid w:val="008A0BBB"/>
    <w:rsid w:val="008A6538"/>
    <w:rsid w:val="008A6956"/>
    <w:rsid w:val="008B1720"/>
    <w:rsid w:val="008B181D"/>
    <w:rsid w:val="008B1B03"/>
    <w:rsid w:val="008B438D"/>
    <w:rsid w:val="008B5824"/>
    <w:rsid w:val="008D224B"/>
    <w:rsid w:val="008D357B"/>
    <w:rsid w:val="008D738D"/>
    <w:rsid w:val="008E093C"/>
    <w:rsid w:val="008E3405"/>
    <w:rsid w:val="008F61B8"/>
    <w:rsid w:val="00903479"/>
    <w:rsid w:val="00916556"/>
    <w:rsid w:val="00917745"/>
    <w:rsid w:val="0092008C"/>
    <w:rsid w:val="009251CB"/>
    <w:rsid w:val="009256B6"/>
    <w:rsid w:val="009339C8"/>
    <w:rsid w:val="00935D14"/>
    <w:rsid w:val="009402D2"/>
    <w:rsid w:val="00942DB7"/>
    <w:rsid w:val="00943B09"/>
    <w:rsid w:val="00945855"/>
    <w:rsid w:val="0094589F"/>
    <w:rsid w:val="00947D3D"/>
    <w:rsid w:val="00951937"/>
    <w:rsid w:val="00953C11"/>
    <w:rsid w:val="0095413F"/>
    <w:rsid w:val="00954165"/>
    <w:rsid w:val="009548B1"/>
    <w:rsid w:val="009563DE"/>
    <w:rsid w:val="0095695F"/>
    <w:rsid w:val="00957329"/>
    <w:rsid w:val="00962715"/>
    <w:rsid w:val="009655BC"/>
    <w:rsid w:val="00965EB8"/>
    <w:rsid w:val="009667A0"/>
    <w:rsid w:val="00967466"/>
    <w:rsid w:val="00967697"/>
    <w:rsid w:val="0097182E"/>
    <w:rsid w:val="00973B84"/>
    <w:rsid w:val="00974A29"/>
    <w:rsid w:val="0097661A"/>
    <w:rsid w:val="00981505"/>
    <w:rsid w:val="0098307D"/>
    <w:rsid w:val="0098644D"/>
    <w:rsid w:val="00995BF3"/>
    <w:rsid w:val="00995EB8"/>
    <w:rsid w:val="00997B97"/>
    <w:rsid w:val="009A3EB7"/>
    <w:rsid w:val="009A49EF"/>
    <w:rsid w:val="009A5260"/>
    <w:rsid w:val="009B1501"/>
    <w:rsid w:val="009B20B0"/>
    <w:rsid w:val="009B415D"/>
    <w:rsid w:val="009B41D9"/>
    <w:rsid w:val="009B4B78"/>
    <w:rsid w:val="009C23AE"/>
    <w:rsid w:val="009C3F40"/>
    <w:rsid w:val="009D10EC"/>
    <w:rsid w:val="009D17EA"/>
    <w:rsid w:val="009D5E87"/>
    <w:rsid w:val="009D6259"/>
    <w:rsid w:val="009D6E61"/>
    <w:rsid w:val="009D7E9F"/>
    <w:rsid w:val="009E48A9"/>
    <w:rsid w:val="009E4F31"/>
    <w:rsid w:val="009E6C39"/>
    <w:rsid w:val="009E71B7"/>
    <w:rsid w:val="009F1D89"/>
    <w:rsid w:val="009F1EC4"/>
    <w:rsid w:val="009F2E47"/>
    <w:rsid w:val="009F4067"/>
    <w:rsid w:val="009F7405"/>
    <w:rsid w:val="009F7AF1"/>
    <w:rsid w:val="00A02CE2"/>
    <w:rsid w:val="00A046B9"/>
    <w:rsid w:val="00A071A7"/>
    <w:rsid w:val="00A101F0"/>
    <w:rsid w:val="00A10CBE"/>
    <w:rsid w:val="00A114B9"/>
    <w:rsid w:val="00A135C8"/>
    <w:rsid w:val="00A1777A"/>
    <w:rsid w:val="00A2326C"/>
    <w:rsid w:val="00A244F3"/>
    <w:rsid w:val="00A254B6"/>
    <w:rsid w:val="00A348CB"/>
    <w:rsid w:val="00A36556"/>
    <w:rsid w:val="00A37EF6"/>
    <w:rsid w:val="00A56FBD"/>
    <w:rsid w:val="00A649E0"/>
    <w:rsid w:val="00A667F5"/>
    <w:rsid w:val="00A67C3C"/>
    <w:rsid w:val="00A67D71"/>
    <w:rsid w:val="00A74A29"/>
    <w:rsid w:val="00A74FE2"/>
    <w:rsid w:val="00A83ADB"/>
    <w:rsid w:val="00A90BFD"/>
    <w:rsid w:val="00A91646"/>
    <w:rsid w:val="00A936E2"/>
    <w:rsid w:val="00A94F6F"/>
    <w:rsid w:val="00A9574F"/>
    <w:rsid w:val="00A95EDE"/>
    <w:rsid w:val="00A975D9"/>
    <w:rsid w:val="00AA47C6"/>
    <w:rsid w:val="00AA4D51"/>
    <w:rsid w:val="00AA5A30"/>
    <w:rsid w:val="00AA658D"/>
    <w:rsid w:val="00AA6F3D"/>
    <w:rsid w:val="00AB0A6B"/>
    <w:rsid w:val="00AB4FD2"/>
    <w:rsid w:val="00AC59E9"/>
    <w:rsid w:val="00AC7817"/>
    <w:rsid w:val="00AD1811"/>
    <w:rsid w:val="00AD19A4"/>
    <w:rsid w:val="00AD2D33"/>
    <w:rsid w:val="00AD482A"/>
    <w:rsid w:val="00AD5AF5"/>
    <w:rsid w:val="00AD7024"/>
    <w:rsid w:val="00AE36CD"/>
    <w:rsid w:val="00AE68BE"/>
    <w:rsid w:val="00AE6984"/>
    <w:rsid w:val="00AE6C39"/>
    <w:rsid w:val="00AE7FD2"/>
    <w:rsid w:val="00AF022B"/>
    <w:rsid w:val="00B040CC"/>
    <w:rsid w:val="00B04D42"/>
    <w:rsid w:val="00B10840"/>
    <w:rsid w:val="00B11021"/>
    <w:rsid w:val="00B1583E"/>
    <w:rsid w:val="00B15E95"/>
    <w:rsid w:val="00B24424"/>
    <w:rsid w:val="00B2735C"/>
    <w:rsid w:val="00B312AB"/>
    <w:rsid w:val="00B33887"/>
    <w:rsid w:val="00B4798B"/>
    <w:rsid w:val="00B54761"/>
    <w:rsid w:val="00B6236C"/>
    <w:rsid w:val="00B6255B"/>
    <w:rsid w:val="00B66320"/>
    <w:rsid w:val="00B75261"/>
    <w:rsid w:val="00B76E21"/>
    <w:rsid w:val="00B80CDC"/>
    <w:rsid w:val="00B858D4"/>
    <w:rsid w:val="00B85C91"/>
    <w:rsid w:val="00B90F73"/>
    <w:rsid w:val="00B933FA"/>
    <w:rsid w:val="00B9595F"/>
    <w:rsid w:val="00B95F07"/>
    <w:rsid w:val="00BA1367"/>
    <w:rsid w:val="00BA2A84"/>
    <w:rsid w:val="00BA2D43"/>
    <w:rsid w:val="00BA5A04"/>
    <w:rsid w:val="00BB00C2"/>
    <w:rsid w:val="00BB61C4"/>
    <w:rsid w:val="00BB6A17"/>
    <w:rsid w:val="00BC06C0"/>
    <w:rsid w:val="00BD4FDA"/>
    <w:rsid w:val="00BE0A4D"/>
    <w:rsid w:val="00BE1453"/>
    <w:rsid w:val="00BE1B5F"/>
    <w:rsid w:val="00BF0B40"/>
    <w:rsid w:val="00BF355E"/>
    <w:rsid w:val="00BF452D"/>
    <w:rsid w:val="00BF4554"/>
    <w:rsid w:val="00C05F12"/>
    <w:rsid w:val="00C10CB4"/>
    <w:rsid w:val="00C1269F"/>
    <w:rsid w:val="00C13363"/>
    <w:rsid w:val="00C158E8"/>
    <w:rsid w:val="00C16D12"/>
    <w:rsid w:val="00C2029A"/>
    <w:rsid w:val="00C209BA"/>
    <w:rsid w:val="00C229A3"/>
    <w:rsid w:val="00C261A1"/>
    <w:rsid w:val="00C31B5F"/>
    <w:rsid w:val="00C31FBD"/>
    <w:rsid w:val="00C32B56"/>
    <w:rsid w:val="00C35699"/>
    <w:rsid w:val="00C36166"/>
    <w:rsid w:val="00C40284"/>
    <w:rsid w:val="00C41F00"/>
    <w:rsid w:val="00C44A80"/>
    <w:rsid w:val="00C4593C"/>
    <w:rsid w:val="00C4764C"/>
    <w:rsid w:val="00C47CD7"/>
    <w:rsid w:val="00C517FC"/>
    <w:rsid w:val="00C521D9"/>
    <w:rsid w:val="00C56351"/>
    <w:rsid w:val="00C566CE"/>
    <w:rsid w:val="00C576CC"/>
    <w:rsid w:val="00C60250"/>
    <w:rsid w:val="00C62DFE"/>
    <w:rsid w:val="00C6695A"/>
    <w:rsid w:val="00C71F9F"/>
    <w:rsid w:val="00C7389E"/>
    <w:rsid w:val="00C73F34"/>
    <w:rsid w:val="00C82D3B"/>
    <w:rsid w:val="00C84C6C"/>
    <w:rsid w:val="00C85B9E"/>
    <w:rsid w:val="00C876DB"/>
    <w:rsid w:val="00C908BD"/>
    <w:rsid w:val="00C947F8"/>
    <w:rsid w:val="00CA004E"/>
    <w:rsid w:val="00CA4BD9"/>
    <w:rsid w:val="00CB348F"/>
    <w:rsid w:val="00CB43FF"/>
    <w:rsid w:val="00CB55C5"/>
    <w:rsid w:val="00CC16BA"/>
    <w:rsid w:val="00CC17CE"/>
    <w:rsid w:val="00CC1D94"/>
    <w:rsid w:val="00CC38E5"/>
    <w:rsid w:val="00CC5904"/>
    <w:rsid w:val="00CC7729"/>
    <w:rsid w:val="00CD149B"/>
    <w:rsid w:val="00CD2370"/>
    <w:rsid w:val="00CD42AC"/>
    <w:rsid w:val="00CE07E6"/>
    <w:rsid w:val="00CE2945"/>
    <w:rsid w:val="00CE6B24"/>
    <w:rsid w:val="00CF1CCE"/>
    <w:rsid w:val="00CF40A6"/>
    <w:rsid w:val="00CF7523"/>
    <w:rsid w:val="00D05037"/>
    <w:rsid w:val="00D07484"/>
    <w:rsid w:val="00D07C10"/>
    <w:rsid w:val="00D11C06"/>
    <w:rsid w:val="00D137A4"/>
    <w:rsid w:val="00D14F72"/>
    <w:rsid w:val="00D15CB6"/>
    <w:rsid w:val="00D21426"/>
    <w:rsid w:val="00D2743C"/>
    <w:rsid w:val="00D31E47"/>
    <w:rsid w:val="00D32909"/>
    <w:rsid w:val="00D47F40"/>
    <w:rsid w:val="00D51765"/>
    <w:rsid w:val="00D5281A"/>
    <w:rsid w:val="00D53F8F"/>
    <w:rsid w:val="00D55C30"/>
    <w:rsid w:val="00D56103"/>
    <w:rsid w:val="00D5770C"/>
    <w:rsid w:val="00D611A3"/>
    <w:rsid w:val="00D6537C"/>
    <w:rsid w:val="00D7058B"/>
    <w:rsid w:val="00D74676"/>
    <w:rsid w:val="00D7711C"/>
    <w:rsid w:val="00D81835"/>
    <w:rsid w:val="00D81AB0"/>
    <w:rsid w:val="00D84A25"/>
    <w:rsid w:val="00D85AF4"/>
    <w:rsid w:val="00D87A12"/>
    <w:rsid w:val="00D91211"/>
    <w:rsid w:val="00D940F5"/>
    <w:rsid w:val="00D97870"/>
    <w:rsid w:val="00DA280E"/>
    <w:rsid w:val="00DA7467"/>
    <w:rsid w:val="00DB102B"/>
    <w:rsid w:val="00DB46D1"/>
    <w:rsid w:val="00DB4AE1"/>
    <w:rsid w:val="00DB4C38"/>
    <w:rsid w:val="00DB5A6F"/>
    <w:rsid w:val="00DB5E73"/>
    <w:rsid w:val="00DB7E29"/>
    <w:rsid w:val="00DC17D1"/>
    <w:rsid w:val="00DC358D"/>
    <w:rsid w:val="00DC4927"/>
    <w:rsid w:val="00DD11A0"/>
    <w:rsid w:val="00DD38DE"/>
    <w:rsid w:val="00DD3F9A"/>
    <w:rsid w:val="00DD4D2F"/>
    <w:rsid w:val="00DE080B"/>
    <w:rsid w:val="00DE3AB8"/>
    <w:rsid w:val="00DF0E35"/>
    <w:rsid w:val="00DF500B"/>
    <w:rsid w:val="00DF5D21"/>
    <w:rsid w:val="00E00A76"/>
    <w:rsid w:val="00E031CA"/>
    <w:rsid w:val="00E05ABB"/>
    <w:rsid w:val="00E05DFB"/>
    <w:rsid w:val="00E066FE"/>
    <w:rsid w:val="00E073A7"/>
    <w:rsid w:val="00E16426"/>
    <w:rsid w:val="00E24B59"/>
    <w:rsid w:val="00E254DF"/>
    <w:rsid w:val="00E25534"/>
    <w:rsid w:val="00E26478"/>
    <w:rsid w:val="00E31051"/>
    <w:rsid w:val="00E32E24"/>
    <w:rsid w:val="00E33A30"/>
    <w:rsid w:val="00E42065"/>
    <w:rsid w:val="00E50AB4"/>
    <w:rsid w:val="00E51D6F"/>
    <w:rsid w:val="00E55433"/>
    <w:rsid w:val="00E56CEE"/>
    <w:rsid w:val="00E57D3F"/>
    <w:rsid w:val="00E646C0"/>
    <w:rsid w:val="00E65BBF"/>
    <w:rsid w:val="00E71C9A"/>
    <w:rsid w:val="00E72937"/>
    <w:rsid w:val="00E82ED6"/>
    <w:rsid w:val="00E840AD"/>
    <w:rsid w:val="00E92832"/>
    <w:rsid w:val="00E92BB3"/>
    <w:rsid w:val="00E93C5C"/>
    <w:rsid w:val="00E957B1"/>
    <w:rsid w:val="00EA302D"/>
    <w:rsid w:val="00EA3585"/>
    <w:rsid w:val="00EA3CA4"/>
    <w:rsid w:val="00EB32B2"/>
    <w:rsid w:val="00EB33E3"/>
    <w:rsid w:val="00EC1315"/>
    <w:rsid w:val="00EC2A0E"/>
    <w:rsid w:val="00ED34C2"/>
    <w:rsid w:val="00ED5773"/>
    <w:rsid w:val="00ED7602"/>
    <w:rsid w:val="00EE0B18"/>
    <w:rsid w:val="00EE340D"/>
    <w:rsid w:val="00EE4C73"/>
    <w:rsid w:val="00EE76D7"/>
    <w:rsid w:val="00EF533F"/>
    <w:rsid w:val="00F00454"/>
    <w:rsid w:val="00F007FB"/>
    <w:rsid w:val="00F04D1C"/>
    <w:rsid w:val="00F050CD"/>
    <w:rsid w:val="00F0687E"/>
    <w:rsid w:val="00F10288"/>
    <w:rsid w:val="00F1057D"/>
    <w:rsid w:val="00F11ED3"/>
    <w:rsid w:val="00F12BE3"/>
    <w:rsid w:val="00F13689"/>
    <w:rsid w:val="00F17B43"/>
    <w:rsid w:val="00F201E7"/>
    <w:rsid w:val="00F21A2D"/>
    <w:rsid w:val="00F23B15"/>
    <w:rsid w:val="00F264AA"/>
    <w:rsid w:val="00F305A7"/>
    <w:rsid w:val="00F35324"/>
    <w:rsid w:val="00F36721"/>
    <w:rsid w:val="00F4305A"/>
    <w:rsid w:val="00F43B5F"/>
    <w:rsid w:val="00F45BBF"/>
    <w:rsid w:val="00F475E3"/>
    <w:rsid w:val="00F50237"/>
    <w:rsid w:val="00F50717"/>
    <w:rsid w:val="00F5090C"/>
    <w:rsid w:val="00F52F67"/>
    <w:rsid w:val="00F53064"/>
    <w:rsid w:val="00F5471A"/>
    <w:rsid w:val="00F55266"/>
    <w:rsid w:val="00F6142C"/>
    <w:rsid w:val="00F66517"/>
    <w:rsid w:val="00F66876"/>
    <w:rsid w:val="00F7110D"/>
    <w:rsid w:val="00F713F8"/>
    <w:rsid w:val="00F7327B"/>
    <w:rsid w:val="00F843C8"/>
    <w:rsid w:val="00F85A3E"/>
    <w:rsid w:val="00F946E3"/>
    <w:rsid w:val="00F95B48"/>
    <w:rsid w:val="00F9638D"/>
    <w:rsid w:val="00FA24A7"/>
    <w:rsid w:val="00FA30C7"/>
    <w:rsid w:val="00FA746C"/>
    <w:rsid w:val="00FB0E13"/>
    <w:rsid w:val="00FB10F3"/>
    <w:rsid w:val="00FB4204"/>
    <w:rsid w:val="00FB6E95"/>
    <w:rsid w:val="00FC4501"/>
    <w:rsid w:val="00FC63CF"/>
    <w:rsid w:val="00FC7A4F"/>
    <w:rsid w:val="00FD2EFE"/>
    <w:rsid w:val="00FD3460"/>
    <w:rsid w:val="00FD5112"/>
    <w:rsid w:val="00FD60E7"/>
    <w:rsid w:val="00FE0A52"/>
    <w:rsid w:val="00FE30E1"/>
    <w:rsid w:val="00FE61AE"/>
    <w:rsid w:val="00FF66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C087504D-7014-4FD6-B6D4-C80E1497F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Hyperlink" w:semiHidden="1"/>
    <w:lsdException w:name="Strong" w:uiPriority="22" w:qFormat="1"/>
    <w:lsdException w:name="Emphasis" w:uiPriority="20" w:qFormat="1"/>
    <w:lsdException w:name="Normal (Web)" w:semiHidden="1"/>
    <w:lsdException w:name="Balloon Text" w:semiHidden="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709F"/>
    <w:pPr>
      <w:spacing w:after="0" w:line="240" w:lineRule="auto"/>
      <w:jc w:val="both"/>
    </w:pPr>
    <w:rPr>
      <w:rFonts w:ascii="Arial" w:hAnsi="Arial" w:cs="Arial"/>
    </w:rPr>
  </w:style>
  <w:style w:type="paragraph" w:styleId="1">
    <w:name w:val="heading 1"/>
    <w:basedOn w:val="a"/>
    <w:next w:val="a"/>
    <w:link w:val="10"/>
    <w:uiPriority w:val="99"/>
    <w:qFormat/>
    <w:rsid w:val="007F5A9E"/>
    <w:pPr>
      <w:keepNext/>
      <w:keepLines/>
      <w:spacing w:before="480"/>
      <w:outlineLvl w:val="0"/>
    </w:pPr>
    <w:rPr>
      <w:rFonts w:ascii="Cambria" w:hAnsi="Cambria" w:cs="Cambria"/>
      <w:b/>
      <w:bCs/>
      <w:color w:val="365F91"/>
      <w:sz w:val="28"/>
      <w:szCs w:val="28"/>
    </w:rPr>
  </w:style>
  <w:style w:type="paragraph" w:styleId="2">
    <w:name w:val="heading 2"/>
    <w:basedOn w:val="a"/>
    <w:next w:val="a"/>
    <w:link w:val="20"/>
    <w:uiPriority w:val="99"/>
    <w:qFormat/>
    <w:rsid w:val="00F264AA"/>
    <w:pPr>
      <w:keepNext/>
      <w:spacing w:before="120" w:after="120"/>
      <w:ind w:firstLine="720"/>
      <w:jc w:val="center"/>
      <w:outlineLvl w:val="1"/>
    </w:pPr>
    <w:rPr>
      <w:b/>
      <w:bCs/>
      <w:sz w:val="24"/>
      <w:szCs w:val="24"/>
    </w:rPr>
  </w:style>
  <w:style w:type="paragraph" w:styleId="3">
    <w:name w:val="heading 3"/>
    <w:basedOn w:val="a"/>
    <w:next w:val="a"/>
    <w:link w:val="30"/>
    <w:uiPriority w:val="9"/>
    <w:unhideWhenUsed/>
    <w:qFormat/>
    <w:rsid w:val="004C7975"/>
    <w:pPr>
      <w:keepNext/>
      <w:spacing w:before="240" w:after="60"/>
      <w:outlineLvl w:val="2"/>
    </w:pPr>
    <w:rPr>
      <w:rFonts w:asciiTheme="majorHAnsi" w:eastAsiaTheme="majorEastAsia" w:hAnsiTheme="majorHAnsi" w:cs="Times New Roman"/>
      <w:b/>
      <w:bCs/>
      <w:sz w:val="26"/>
      <w:szCs w:val="26"/>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7F5A9E"/>
    <w:rPr>
      <w:rFonts w:ascii="Cambria" w:hAnsi="Cambria" w:cs="Cambria"/>
      <w:b/>
      <w:bCs/>
      <w:color w:val="365F91"/>
      <w:sz w:val="28"/>
      <w:szCs w:val="28"/>
      <w:lang w:val="x-none" w:eastAsia="ru-RU"/>
    </w:rPr>
  </w:style>
  <w:style w:type="character" w:customStyle="1" w:styleId="20">
    <w:name w:val="Заголовок 2 Знак"/>
    <w:basedOn w:val="a0"/>
    <w:link w:val="2"/>
    <w:uiPriority w:val="99"/>
    <w:locked/>
    <w:rsid w:val="00F264AA"/>
    <w:rPr>
      <w:rFonts w:ascii="Times New Roman" w:hAnsi="Times New Roman" w:cs="Times New Roman"/>
      <w:b/>
      <w:bCs/>
      <w:sz w:val="20"/>
      <w:szCs w:val="20"/>
      <w:lang w:val="x-none" w:eastAsia="ru-RU"/>
    </w:rPr>
  </w:style>
  <w:style w:type="character" w:customStyle="1" w:styleId="30">
    <w:name w:val="Заголовок 3 Знак"/>
    <w:basedOn w:val="a0"/>
    <w:link w:val="3"/>
    <w:uiPriority w:val="9"/>
    <w:locked/>
    <w:rsid w:val="004C7975"/>
    <w:rPr>
      <w:rFonts w:asciiTheme="majorHAnsi" w:eastAsiaTheme="majorEastAsia" w:hAnsiTheme="majorHAnsi" w:cs="Times New Roman"/>
      <w:b/>
      <w:bCs/>
      <w:sz w:val="26"/>
      <w:szCs w:val="26"/>
    </w:rPr>
  </w:style>
  <w:style w:type="character" w:styleId="a3">
    <w:name w:val="Hyperlink"/>
    <w:basedOn w:val="a0"/>
    <w:uiPriority w:val="99"/>
    <w:rsid w:val="00F264AA"/>
    <w:rPr>
      <w:rFonts w:cs="Times New Roman"/>
      <w:color w:val="0000FF"/>
      <w:u w:val="single"/>
    </w:rPr>
  </w:style>
  <w:style w:type="paragraph" w:customStyle="1" w:styleId="contents">
    <w:name w:val="contents"/>
    <w:basedOn w:val="a"/>
    <w:rsid w:val="00F264AA"/>
    <w:pPr>
      <w:spacing w:before="100" w:beforeAutospacing="1" w:after="100" w:afterAutospacing="1"/>
      <w:jc w:val="left"/>
    </w:pPr>
    <w:rPr>
      <w:sz w:val="20"/>
      <w:szCs w:val="20"/>
    </w:rPr>
  </w:style>
  <w:style w:type="character" w:styleId="a4">
    <w:name w:val="Strong"/>
    <w:basedOn w:val="a0"/>
    <w:uiPriority w:val="22"/>
    <w:qFormat/>
    <w:rsid w:val="00F264AA"/>
    <w:rPr>
      <w:rFonts w:cs="Times New Roman"/>
      <w:b/>
      <w:bCs/>
    </w:rPr>
  </w:style>
  <w:style w:type="paragraph" w:styleId="a5">
    <w:name w:val="Normal (Web)"/>
    <w:basedOn w:val="a"/>
    <w:uiPriority w:val="99"/>
    <w:rsid w:val="00F264AA"/>
    <w:pPr>
      <w:spacing w:before="100" w:beforeAutospacing="1" w:after="100" w:afterAutospacing="1"/>
      <w:jc w:val="left"/>
    </w:pPr>
    <w:rPr>
      <w:sz w:val="24"/>
      <w:szCs w:val="24"/>
    </w:rPr>
  </w:style>
  <w:style w:type="paragraph" w:styleId="a6">
    <w:name w:val="Balloon Text"/>
    <w:basedOn w:val="a"/>
    <w:link w:val="a7"/>
    <w:uiPriority w:val="99"/>
    <w:semiHidden/>
    <w:rsid w:val="00F264AA"/>
    <w:rPr>
      <w:rFonts w:ascii="Tahoma" w:hAnsi="Tahoma" w:cs="Tahoma"/>
      <w:sz w:val="16"/>
      <w:szCs w:val="16"/>
    </w:rPr>
  </w:style>
  <w:style w:type="character" w:customStyle="1" w:styleId="a7">
    <w:name w:val="Текст выноски Знак"/>
    <w:basedOn w:val="a0"/>
    <w:link w:val="a6"/>
    <w:uiPriority w:val="99"/>
    <w:semiHidden/>
    <w:locked/>
    <w:rsid w:val="00F264AA"/>
    <w:rPr>
      <w:rFonts w:ascii="Tahoma" w:hAnsi="Tahoma" w:cs="Tahoma"/>
      <w:sz w:val="16"/>
      <w:szCs w:val="16"/>
      <w:lang w:val="x-none" w:eastAsia="ru-RU"/>
    </w:rPr>
  </w:style>
  <w:style w:type="paragraph" w:styleId="a8">
    <w:name w:val="Plain Text"/>
    <w:basedOn w:val="a"/>
    <w:link w:val="a9"/>
    <w:uiPriority w:val="99"/>
    <w:unhideWhenUsed/>
    <w:rsid w:val="00DA7467"/>
    <w:pPr>
      <w:jc w:val="left"/>
    </w:pPr>
    <w:rPr>
      <w:rFonts w:ascii="Calibri" w:hAnsi="Calibri" w:cs="Times New Roman"/>
      <w:szCs w:val="21"/>
      <w:lang w:eastAsia="en-US"/>
    </w:rPr>
  </w:style>
  <w:style w:type="character" w:customStyle="1" w:styleId="a9">
    <w:name w:val="Текст Знак"/>
    <w:basedOn w:val="a0"/>
    <w:link w:val="a8"/>
    <w:uiPriority w:val="99"/>
    <w:locked/>
    <w:rsid w:val="00DA7467"/>
    <w:rPr>
      <w:rFonts w:eastAsia="Times New Roman" w:cs="Times New Roman"/>
      <w:sz w:val="21"/>
      <w:szCs w:val="21"/>
      <w:lang w:val="x-none" w:eastAsia="en-US"/>
    </w:rPr>
  </w:style>
  <w:style w:type="character" w:customStyle="1" w:styleId="apple-converted-space">
    <w:name w:val="apple-converted-space"/>
    <w:rsid w:val="00AA4D51"/>
  </w:style>
  <w:style w:type="paragraph" w:customStyle="1" w:styleId="headingsmall">
    <w:name w:val="headingsmall"/>
    <w:basedOn w:val="a"/>
    <w:rsid w:val="00194C75"/>
    <w:pPr>
      <w:spacing w:before="100" w:beforeAutospacing="1" w:after="100" w:afterAutospacing="1"/>
      <w:jc w:val="left"/>
    </w:pPr>
    <w:rPr>
      <w:rFonts w:ascii="Verdana" w:hAnsi="Verdana" w:cs="Times New Roman"/>
      <w:b/>
      <w:bCs/>
      <w:color w:val="006633"/>
      <w:sz w:val="24"/>
      <w:szCs w:val="24"/>
    </w:rPr>
  </w:style>
  <w:style w:type="paragraph" w:customStyle="1" w:styleId="ConsPlusTitle">
    <w:name w:val="ConsPlusTitle"/>
    <w:rsid w:val="005429F5"/>
    <w:pPr>
      <w:widowControl w:val="0"/>
      <w:autoSpaceDE w:val="0"/>
      <w:autoSpaceDN w:val="0"/>
      <w:adjustRightInd w:val="0"/>
      <w:spacing w:after="0" w:line="240" w:lineRule="auto"/>
    </w:pPr>
    <w:rPr>
      <w:rFonts w:ascii="Arial" w:hAnsi="Arial" w:cs="Arial"/>
      <w:b/>
      <w:bCs/>
      <w:sz w:val="20"/>
      <w:szCs w:val="20"/>
    </w:rPr>
  </w:style>
  <w:style w:type="paragraph" w:styleId="aa">
    <w:name w:val="TOC Heading"/>
    <w:basedOn w:val="1"/>
    <w:next w:val="a"/>
    <w:uiPriority w:val="39"/>
    <w:unhideWhenUsed/>
    <w:qFormat/>
    <w:rsid w:val="00886029"/>
    <w:pPr>
      <w:spacing w:before="240" w:line="259" w:lineRule="auto"/>
      <w:jc w:val="left"/>
      <w:outlineLvl w:val="9"/>
    </w:pPr>
    <w:rPr>
      <w:rFonts w:ascii="Calibri Light" w:hAnsi="Calibri Light" w:cs="Times New Roman"/>
      <w:b w:val="0"/>
      <w:bCs w:val="0"/>
      <w:color w:val="2E74B5"/>
      <w:sz w:val="32"/>
      <w:szCs w:val="32"/>
    </w:rPr>
  </w:style>
  <w:style w:type="paragraph" w:styleId="21">
    <w:name w:val="toc 2"/>
    <w:basedOn w:val="a"/>
    <w:next w:val="a"/>
    <w:autoRedefine/>
    <w:uiPriority w:val="39"/>
    <w:unhideWhenUsed/>
    <w:rsid w:val="00886029"/>
    <w:pPr>
      <w:ind w:left="220"/>
    </w:pPr>
  </w:style>
  <w:style w:type="paragraph" w:styleId="ab">
    <w:name w:val="List Paragraph"/>
    <w:basedOn w:val="a"/>
    <w:uiPriority w:val="34"/>
    <w:qFormat/>
    <w:rsid w:val="00536506"/>
    <w:pPr>
      <w:spacing w:after="200" w:line="276" w:lineRule="auto"/>
      <w:ind w:left="720"/>
      <w:contextualSpacing/>
      <w:jc w:val="left"/>
    </w:pPr>
    <w:rPr>
      <w:rFonts w:ascii="Calibri" w:hAnsi="Calibri" w:cs="Calibri"/>
      <w:lang w:eastAsia="en-US"/>
    </w:rPr>
  </w:style>
  <w:style w:type="character" w:styleId="ac">
    <w:name w:val="annotation reference"/>
    <w:basedOn w:val="a0"/>
    <w:uiPriority w:val="99"/>
    <w:rsid w:val="00473A9F"/>
    <w:rPr>
      <w:rFonts w:cs="Times New Roman"/>
      <w:sz w:val="16"/>
      <w:szCs w:val="16"/>
    </w:rPr>
  </w:style>
  <w:style w:type="paragraph" w:styleId="ad">
    <w:name w:val="annotation text"/>
    <w:basedOn w:val="a"/>
    <w:link w:val="ae"/>
    <w:uiPriority w:val="99"/>
    <w:rsid w:val="00473A9F"/>
    <w:rPr>
      <w:sz w:val="20"/>
      <w:szCs w:val="20"/>
    </w:rPr>
  </w:style>
  <w:style w:type="character" w:customStyle="1" w:styleId="ae">
    <w:name w:val="Текст примечания Знак"/>
    <w:basedOn w:val="a0"/>
    <w:link w:val="ad"/>
    <w:uiPriority w:val="99"/>
    <w:locked/>
    <w:rsid w:val="00473A9F"/>
    <w:rPr>
      <w:rFonts w:ascii="Arial" w:hAnsi="Arial" w:cs="Arial"/>
      <w:sz w:val="20"/>
      <w:szCs w:val="20"/>
    </w:rPr>
  </w:style>
  <w:style w:type="paragraph" w:styleId="af">
    <w:name w:val="annotation subject"/>
    <w:basedOn w:val="ad"/>
    <w:next w:val="ad"/>
    <w:link w:val="af0"/>
    <w:uiPriority w:val="99"/>
    <w:rsid w:val="00473A9F"/>
    <w:rPr>
      <w:b/>
      <w:bCs/>
    </w:rPr>
  </w:style>
  <w:style w:type="character" w:customStyle="1" w:styleId="af0">
    <w:name w:val="Тема примечания Знак"/>
    <w:basedOn w:val="ae"/>
    <w:link w:val="af"/>
    <w:uiPriority w:val="99"/>
    <w:locked/>
    <w:rsid w:val="00473A9F"/>
    <w:rPr>
      <w:rFonts w:ascii="Arial" w:hAnsi="Arial" w:cs="Arial"/>
      <w:b/>
      <w:bCs/>
      <w:sz w:val="20"/>
      <w:szCs w:val="20"/>
    </w:rPr>
  </w:style>
  <w:style w:type="paragraph" w:styleId="af1">
    <w:name w:val="caption"/>
    <w:basedOn w:val="a"/>
    <w:uiPriority w:val="35"/>
    <w:unhideWhenUsed/>
    <w:qFormat/>
    <w:rsid w:val="009402D2"/>
    <w:pPr>
      <w:jc w:val="center"/>
    </w:pPr>
    <w:rPr>
      <w:rFonts w:ascii="Times New Roman" w:hAnsi="Times New Roman" w:cs="Times New Roman"/>
      <w:b/>
      <w:bCs/>
      <w:sz w:val="24"/>
      <w:szCs w:val="24"/>
    </w:rPr>
  </w:style>
  <w:style w:type="character" w:customStyle="1" w:styleId="normaltextrun">
    <w:name w:val="normaltextrun"/>
    <w:rsid w:val="008502AE"/>
  </w:style>
  <w:style w:type="character" w:customStyle="1" w:styleId="eop">
    <w:name w:val="eop"/>
    <w:rsid w:val="008502AE"/>
  </w:style>
  <w:style w:type="paragraph" w:styleId="af2">
    <w:name w:val="Title"/>
    <w:basedOn w:val="a"/>
    <w:link w:val="af3"/>
    <w:uiPriority w:val="10"/>
    <w:qFormat/>
    <w:rsid w:val="00AD19A4"/>
    <w:pPr>
      <w:spacing w:after="200" w:line="276" w:lineRule="auto"/>
      <w:jc w:val="center"/>
    </w:pPr>
    <w:rPr>
      <w:rFonts w:ascii="Times New Roman" w:hAnsi="Times New Roman" w:cs="Times New Roman"/>
      <w:b/>
      <w:sz w:val="28"/>
      <w:szCs w:val="20"/>
    </w:rPr>
  </w:style>
  <w:style w:type="character" w:customStyle="1" w:styleId="af3">
    <w:name w:val="Заголовок Знак"/>
    <w:basedOn w:val="a0"/>
    <w:link w:val="af2"/>
    <w:uiPriority w:val="10"/>
    <w:locked/>
    <w:rsid w:val="00AD19A4"/>
    <w:rPr>
      <w:rFonts w:ascii="Times New Roman" w:hAnsi="Times New Roman" w:cs="Times New Roman"/>
      <w:b/>
      <w:sz w:val="20"/>
      <w:szCs w:val="20"/>
    </w:rPr>
  </w:style>
  <w:style w:type="character" w:customStyle="1" w:styleId="extended-textfull">
    <w:name w:val="extended-text__full"/>
    <w:rsid w:val="00052AC7"/>
  </w:style>
  <w:style w:type="table" w:styleId="af4">
    <w:name w:val="Table Grid"/>
    <w:basedOn w:val="a1"/>
    <w:uiPriority w:val="39"/>
    <w:rsid w:val="00DE3AB8"/>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4"/>
    <w:uiPriority w:val="39"/>
    <w:rsid w:val="007B009C"/>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d6ff683d8d0a42f228bf8a64b8551e1msonormal">
    <w:name w:val="bd6ff683d8d0a42f228bf8a64b8551e1msonormal"/>
    <w:basedOn w:val="a"/>
    <w:rsid w:val="00153C69"/>
    <w:pPr>
      <w:spacing w:before="100" w:beforeAutospacing="1" w:after="100" w:afterAutospacing="1"/>
      <w:jc w:val="left"/>
    </w:pPr>
    <w:rPr>
      <w:rFonts w:ascii="Times New Roman" w:hAnsi="Times New Roman" w:cs="Times New Roman"/>
      <w:sz w:val="24"/>
      <w:szCs w:val="24"/>
    </w:rPr>
  </w:style>
  <w:style w:type="paragraph" w:styleId="af5">
    <w:name w:val="header"/>
    <w:basedOn w:val="a"/>
    <w:link w:val="af6"/>
    <w:uiPriority w:val="99"/>
    <w:rsid w:val="00EA3585"/>
    <w:pPr>
      <w:tabs>
        <w:tab w:val="center" w:pos="4677"/>
        <w:tab w:val="right" w:pos="9355"/>
      </w:tabs>
    </w:pPr>
  </w:style>
  <w:style w:type="character" w:customStyle="1" w:styleId="af6">
    <w:name w:val="Верхний колонтитул Знак"/>
    <w:basedOn w:val="a0"/>
    <w:link w:val="af5"/>
    <w:uiPriority w:val="99"/>
    <w:locked/>
    <w:rsid w:val="00EA3585"/>
    <w:rPr>
      <w:rFonts w:ascii="Arial" w:hAnsi="Arial" w:cs="Arial"/>
    </w:rPr>
  </w:style>
  <w:style w:type="paragraph" w:styleId="af7">
    <w:name w:val="footer"/>
    <w:basedOn w:val="a"/>
    <w:link w:val="af8"/>
    <w:uiPriority w:val="99"/>
    <w:rsid w:val="00EA3585"/>
    <w:pPr>
      <w:tabs>
        <w:tab w:val="center" w:pos="4677"/>
        <w:tab w:val="right" w:pos="9355"/>
      </w:tabs>
    </w:pPr>
  </w:style>
  <w:style w:type="character" w:customStyle="1" w:styleId="af8">
    <w:name w:val="Нижний колонтитул Знак"/>
    <w:basedOn w:val="a0"/>
    <w:link w:val="af7"/>
    <w:uiPriority w:val="99"/>
    <w:locked/>
    <w:rsid w:val="00EA3585"/>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3449082">
      <w:marLeft w:val="0"/>
      <w:marRight w:val="0"/>
      <w:marTop w:val="0"/>
      <w:marBottom w:val="0"/>
      <w:divBdr>
        <w:top w:val="none" w:sz="0" w:space="0" w:color="auto"/>
        <w:left w:val="none" w:sz="0" w:space="0" w:color="auto"/>
        <w:bottom w:val="none" w:sz="0" w:space="0" w:color="auto"/>
        <w:right w:val="none" w:sz="0" w:space="0" w:color="auto"/>
      </w:divBdr>
    </w:div>
    <w:div w:id="1853449083">
      <w:marLeft w:val="0"/>
      <w:marRight w:val="0"/>
      <w:marTop w:val="0"/>
      <w:marBottom w:val="0"/>
      <w:divBdr>
        <w:top w:val="none" w:sz="0" w:space="0" w:color="auto"/>
        <w:left w:val="none" w:sz="0" w:space="0" w:color="auto"/>
        <w:bottom w:val="none" w:sz="0" w:space="0" w:color="auto"/>
        <w:right w:val="none" w:sz="0" w:space="0" w:color="auto"/>
      </w:divBdr>
    </w:div>
    <w:div w:id="1853449084">
      <w:marLeft w:val="0"/>
      <w:marRight w:val="0"/>
      <w:marTop w:val="0"/>
      <w:marBottom w:val="0"/>
      <w:divBdr>
        <w:top w:val="none" w:sz="0" w:space="0" w:color="auto"/>
        <w:left w:val="none" w:sz="0" w:space="0" w:color="auto"/>
        <w:bottom w:val="none" w:sz="0" w:space="0" w:color="auto"/>
        <w:right w:val="none" w:sz="0" w:space="0" w:color="auto"/>
      </w:divBdr>
    </w:div>
    <w:div w:id="1853449085">
      <w:marLeft w:val="0"/>
      <w:marRight w:val="0"/>
      <w:marTop w:val="0"/>
      <w:marBottom w:val="0"/>
      <w:divBdr>
        <w:top w:val="none" w:sz="0" w:space="0" w:color="auto"/>
        <w:left w:val="none" w:sz="0" w:space="0" w:color="auto"/>
        <w:bottom w:val="none" w:sz="0" w:space="0" w:color="auto"/>
        <w:right w:val="none" w:sz="0" w:space="0" w:color="auto"/>
      </w:divBdr>
    </w:div>
    <w:div w:id="1853449086">
      <w:marLeft w:val="0"/>
      <w:marRight w:val="0"/>
      <w:marTop w:val="0"/>
      <w:marBottom w:val="0"/>
      <w:divBdr>
        <w:top w:val="none" w:sz="0" w:space="0" w:color="auto"/>
        <w:left w:val="none" w:sz="0" w:space="0" w:color="auto"/>
        <w:bottom w:val="none" w:sz="0" w:space="0" w:color="auto"/>
        <w:right w:val="none" w:sz="0" w:space="0" w:color="auto"/>
      </w:divBdr>
    </w:div>
    <w:div w:id="1853449087">
      <w:marLeft w:val="0"/>
      <w:marRight w:val="0"/>
      <w:marTop w:val="0"/>
      <w:marBottom w:val="0"/>
      <w:divBdr>
        <w:top w:val="none" w:sz="0" w:space="0" w:color="auto"/>
        <w:left w:val="none" w:sz="0" w:space="0" w:color="auto"/>
        <w:bottom w:val="none" w:sz="0" w:space="0" w:color="auto"/>
        <w:right w:val="none" w:sz="0" w:space="0" w:color="auto"/>
      </w:divBdr>
    </w:div>
    <w:div w:id="1853449088">
      <w:marLeft w:val="0"/>
      <w:marRight w:val="0"/>
      <w:marTop w:val="0"/>
      <w:marBottom w:val="0"/>
      <w:divBdr>
        <w:top w:val="none" w:sz="0" w:space="0" w:color="auto"/>
        <w:left w:val="none" w:sz="0" w:space="0" w:color="auto"/>
        <w:bottom w:val="none" w:sz="0" w:space="0" w:color="auto"/>
        <w:right w:val="none" w:sz="0" w:space="0" w:color="auto"/>
      </w:divBdr>
    </w:div>
    <w:div w:id="1853449089">
      <w:marLeft w:val="0"/>
      <w:marRight w:val="0"/>
      <w:marTop w:val="0"/>
      <w:marBottom w:val="0"/>
      <w:divBdr>
        <w:top w:val="none" w:sz="0" w:space="0" w:color="auto"/>
        <w:left w:val="none" w:sz="0" w:space="0" w:color="auto"/>
        <w:bottom w:val="none" w:sz="0" w:space="0" w:color="auto"/>
        <w:right w:val="none" w:sz="0" w:space="0" w:color="auto"/>
      </w:divBdr>
      <w:divsChild>
        <w:div w:id="1853449172">
          <w:marLeft w:val="0"/>
          <w:marRight w:val="0"/>
          <w:marTop w:val="0"/>
          <w:marBottom w:val="0"/>
          <w:divBdr>
            <w:top w:val="none" w:sz="0" w:space="0" w:color="auto"/>
            <w:left w:val="none" w:sz="0" w:space="0" w:color="auto"/>
            <w:bottom w:val="none" w:sz="0" w:space="0" w:color="auto"/>
            <w:right w:val="none" w:sz="0" w:space="0" w:color="auto"/>
          </w:divBdr>
          <w:divsChild>
            <w:div w:id="1853449108">
              <w:marLeft w:val="0"/>
              <w:marRight w:val="0"/>
              <w:marTop w:val="0"/>
              <w:marBottom w:val="0"/>
              <w:divBdr>
                <w:top w:val="none" w:sz="0" w:space="0" w:color="auto"/>
                <w:left w:val="none" w:sz="0" w:space="0" w:color="auto"/>
                <w:bottom w:val="none" w:sz="0" w:space="0" w:color="auto"/>
                <w:right w:val="none" w:sz="0" w:space="0" w:color="auto"/>
              </w:divBdr>
              <w:divsChild>
                <w:div w:id="1853449144">
                  <w:marLeft w:val="0"/>
                  <w:marRight w:val="0"/>
                  <w:marTop w:val="0"/>
                  <w:marBottom w:val="0"/>
                  <w:divBdr>
                    <w:top w:val="none" w:sz="0" w:space="0" w:color="auto"/>
                    <w:left w:val="none" w:sz="0" w:space="0" w:color="auto"/>
                    <w:bottom w:val="none" w:sz="0" w:space="0" w:color="auto"/>
                    <w:right w:val="none" w:sz="0" w:space="0" w:color="auto"/>
                  </w:divBdr>
                  <w:divsChild>
                    <w:div w:id="1853449169">
                      <w:marLeft w:val="0"/>
                      <w:marRight w:val="0"/>
                      <w:marTop w:val="0"/>
                      <w:marBottom w:val="300"/>
                      <w:divBdr>
                        <w:top w:val="none" w:sz="0" w:space="0" w:color="auto"/>
                        <w:left w:val="none" w:sz="0" w:space="0" w:color="auto"/>
                        <w:bottom w:val="none" w:sz="0" w:space="0" w:color="auto"/>
                        <w:right w:val="none" w:sz="0" w:space="0" w:color="auto"/>
                      </w:divBdr>
                      <w:divsChild>
                        <w:div w:id="1853449093">
                          <w:marLeft w:val="0"/>
                          <w:marRight w:val="0"/>
                          <w:marTop w:val="0"/>
                          <w:marBottom w:val="0"/>
                          <w:divBdr>
                            <w:top w:val="none" w:sz="0" w:space="0" w:color="auto"/>
                            <w:left w:val="none" w:sz="0" w:space="0" w:color="auto"/>
                            <w:bottom w:val="none" w:sz="0" w:space="0" w:color="auto"/>
                            <w:right w:val="none" w:sz="0" w:space="0" w:color="auto"/>
                          </w:divBdr>
                          <w:divsChild>
                            <w:div w:id="1853449138">
                              <w:marLeft w:val="0"/>
                              <w:marRight w:val="0"/>
                              <w:marTop w:val="0"/>
                              <w:marBottom w:val="0"/>
                              <w:divBdr>
                                <w:top w:val="none" w:sz="0" w:space="0" w:color="auto"/>
                                <w:left w:val="none" w:sz="0" w:space="0" w:color="auto"/>
                                <w:bottom w:val="none" w:sz="0" w:space="0" w:color="auto"/>
                                <w:right w:val="none" w:sz="0" w:space="0" w:color="auto"/>
                              </w:divBdr>
                              <w:divsChild>
                                <w:div w:id="1853449090">
                                  <w:marLeft w:val="0"/>
                                  <w:marRight w:val="0"/>
                                  <w:marTop w:val="0"/>
                                  <w:marBottom w:val="0"/>
                                  <w:divBdr>
                                    <w:top w:val="single" w:sz="2" w:space="0" w:color="E6E6E6"/>
                                    <w:left w:val="single" w:sz="6" w:space="22" w:color="E6E6E6"/>
                                    <w:bottom w:val="single" w:sz="2" w:space="0" w:color="E6E6E6"/>
                                    <w:right w:val="single" w:sz="6" w:space="22" w:color="E6E6E6"/>
                                  </w:divBdr>
                                  <w:divsChild>
                                    <w:div w:id="1853449101">
                                      <w:marLeft w:val="0"/>
                                      <w:marRight w:val="0"/>
                                      <w:marTop w:val="0"/>
                                      <w:marBottom w:val="0"/>
                                      <w:divBdr>
                                        <w:top w:val="none" w:sz="0" w:space="0" w:color="auto"/>
                                        <w:left w:val="none" w:sz="0" w:space="0" w:color="auto"/>
                                        <w:bottom w:val="none" w:sz="0" w:space="0" w:color="auto"/>
                                        <w:right w:val="none" w:sz="0" w:space="0" w:color="auto"/>
                                      </w:divBdr>
                                      <w:divsChild>
                                        <w:div w:id="1853449106">
                                          <w:marLeft w:val="0"/>
                                          <w:marRight w:val="0"/>
                                          <w:marTop w:val="0"/>
                                          <w:marBottom w:val="0"/>
                                          <w:divBdr>
                                            <w:top w:val="none" w:sz="0" w:space="0" w:color="auto"/>
                                            <w:left w:val="none" w:sz="0" w:space="0" w:color="auto"/>
                                            <w:bottom w:val="none" w:sz="0" w:space="0" w:color="auto"/>
                                            <w:right w:val="none" w:sz="0" w:space="0" w:color="auto"/>
                                          </w:divBdr>
                                          <w:divsChild>
                                            <w:div w:id="185344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449099">
      <w:marLeft w:val="0"/>
      <w:marRight w:val="0"/>
      <w:marTop w:val="0"/>
      <w:marBottom w:val="0"/>
      <w:divBdr>
        <w:top w:val="none" w:sz="0" w:space="0" w:color="auto"/>
        <w:left w:val="none" w:sz="0" w:space="0" w:color="auto"/>
        <w:bottom w:val="none" w:sz="0" w:space="0" w:color="auto"/>
        <w:right w:val="none" w:sz="0" w:space="0" w:color="auto"/>
      </w:divBdr>
    </w:div>
    <w:div w:id="1853449105">
      <w:marLeft w:val="0"/>
      <w:marRight w:val="0"/>
      <w:marTop w:val="0"/>
      <w:marBottom w:val="0"/>
      <w:divBdr>
        <w:top w:val="none" w:sz="0" w:space="0" w:color="auto"/>
        <w:left w:val="none" w:sz="0" w:space="0" w:color="auto"/>
        <w:bottom w:val="none" w:sz="0" w:space="0" w:color="auto"/>
        <w:right w:val="none" w:sz="0" w:space="0" w:color="auto"/>
      </w:divBdr>
      <w:divsChild>
        <w:div w:id="1853449091">
          <w:marLeft w:val="0"/>
          <w:marRight w:val="0"/>
          <w:marTop w:val="0"/>
          <w:marBottom w:val="0"/>
          <w:divBdr>
            <w:top w:val="none" w:sz="0" w:space="0" w:color="auto"/>
            <w:left w:val="none" w:sz="0" w:space="0" w:color="auto"/>
            <w:bottom w:val="none" w:sz="0" w:space="0" w:color="auto"/>
            <w:right w:val="none" w:sz="0" w:space="0" w:color="auto"/>
          </w:divBdr>
          <w:divsChild>
            <w:div w:id="1853449140">
              <w:marLeft w:val="0"/>
              <w:marRight w:val="0"/>
              <w:marTop w:val="0"/>
              <w:marBottom w:val="0"/>
              <w:divBdr>
                <w:top w:val="none" w:sz="0" w:space="0" w:color="auto"/>
                <w:left w:val="none" w:sz="0" w:space="0" w:color="auto"/>
                <w:bottom w:val="none" w:sz="0" w:space="0" w:color="auto"/>
                <w:right w:val="none" w:sz="0" w:space="0" w:color="auto"/>
              </w:divBdr>
              <w:divsChild>
                <w:div w:id="1853449135">
                  <w:marLeft w:val="0"/>
                  <w:marRight w:val="0"/>
                  <w:marTop w:val="0"/>
                  <w:marBottom w:val="0"/>
                  <w:divBdr>
                    <w:top w:val="none" w:sz="0" w:space="0" w:color="auto"/>
                    <w:left w:val="none" w:sz="0" w:space="0" w:color="auto"/>
                    <w:bottom w:val="none" w:sz="0" w:space="0" w:color="auto"/>
                    <w:right w:val="none" w:sz="0" w:space="0" w:color="auto"/>
                  </w:divBdr>
                  <w:divsChild>
                    <w:div w:id="1853449097">
                      <w:marLeft w:val="0"/>
                      <w:marRight w:val="0"/>
                      <w:marTop w:val="0"/>
                      <w:marBottom w:val="300"/>
                      <w:divBdr>
                        <w:top w:val="none" w:sz="0" w:space="0" w:color="auto"/>
                        <w:left w:val="none" w:sz="0" w:space="0" w:color="auto"/>
                        <w:bottom w:val="none" w:sz="0" w:space="0" w:color="auto"/>
                        <w:right w:val="none" w:sz="0" w:space="0" w:color="auto"/>
                      </w:divBdr>
                      <w:divsChild>
                        <w:div w:id="1853449160">
                          <w:marLeft w:val="0"/>
                          <w:marRight w:val="0"/>
                          <w:marTop w:val="0"/>
                          <w:marBottom w:val="0"/>
                          <w:divBdr>
                            <w:top w:val="none" w:sz="0" w:space="0" w:color="auto"/>
                            <w:left w:val="none" w:sz="0" w:space="0" w:color="auto"/>
                            <w:bottom w:val="none" w:sz="0" w:space="0" w:color="auto"/>
                            <w:right w:val="none" w:sz="0" w:space="0" w:color="auto"/>
                          </w:divBdr>
                          <w:divsChild>
                            <w:div w:id="1853449164">
                              <w:marLeft w:val="0"/>
                              <w:marRight w:val="0"/>
                              <w:marTop w:val="0"/>
                              <w:marBottom w:val="0"/>
                              <w:divBdr>
                                <w:top w:val="none" w:sz="0" w:space="0" w:color="auto"/>
                                <w:left w:val="none" w:sz="0" w:space="0" w:color="auto"/>
                                <w:bottom w:val="none" w:sz="0" w:space="0" w:color="auto"/>
                                <w:right w:val="none" w:sz="0" w:space="0" w:color="auto"/>
                              </w:divBdr>
                              <w:divsChild>
                                <w:div w:id="1853449146">
                                  <w:marLeft w:val="0"/>
                                  <w:marRight w:val="0"/>
                                  <w:marTop w:val="0"/>
                                  <w:marBottom w:val="0"/>
                                  <w:divBdr>
                                    <w:top w:val="single" w:sz="2" w:space="0" w:color="E6E6E6"/>
                                    <w:left w:val="single" w:sz="6" w:space="22" w:color="E6E6E6"/>
                                    <w:bottom w:val="single" w:sz="2" w:space="0" w:color="E6E6E6"/>
                                    <w:right w:val="single" w:sz="6" w:space="22" w:color="E6E6E6"/>
                                  </w:divBdr>
                                  <w:divsChild>
                                    <w:div w:id="1853449102">
                                      <w:marLeft w:val="0"/>
                                      <w:marRight w:val="0"/>
                                      <w:marTop w:val="0"/>
                                      <w:marBottom w:val="0"/>
                                      <w:divBdr>
                                        <w:top w:val="none" w:sz="0" w:space="0" w:color="auto"/>
                                        <w:left w:val="none" w:sz="0" w:space="0" w:color="auto"/>
                                        <w:bottom w:val="none" w:sz="0" w:space="0" w:color="auto"/>
                                        <w:right w:val="none" w:sz="0" w:space="0" w:color="auto"/>
                                      </w:divBdr>
                                      <w:divsChild>
                                        <w:div w:id="1853449133">
                                          <w:marLeft w:val="0"/>
                                          <w:marRight w:val="0"/>
                                          <w:marTop w:val="0"/>
                                          <w:marBottom w:val="0"/>
                                          <w:divBdr>
                                            <w:top w:val="none" w:sz="0" w:space="0" w:color="auto"/>
                                            <w:left w:val="none" w:sz="0" w:space="0" w:color="auto"/>
                                            <w:bottom w:val="none" w:sz="0" w:space="0" w:color="auto"/>
                                            <w:right w:val="none" w:sz="0" w:space="0" w:color="auto"/>
                                          </w:divBdr>
                                          <w:divsChild>
                                            <w:div w:id="185344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449122">
      <w:marLeft w:val="0"/>
      <w:marRight w:val="0"/>
      <w:marTop w:val="0"/>
      <w:marBottom w:val="0"/>
      <w:divBdr>
        <w:top w:val="none" w:sz="0" w:space="0" w:color="auto"/>
        <w:left w:val="none" w:sz="0" w:space="0" w:color="auto"/>
        <w:bottom w:val="none" w:sz="0" w:space="0" w:color="auto"/>
        <w:right w:val="none" w:sz="0" w:space="0" w:color="auto"/>
      </w:divBdr>
      <w:divsChild>
        <w:div w:id="1853449115">
          <w:marLeft w:val="0"/>
          <w:marRight w:val="0"/>
          <w:marTop w:val="0"/>
          <w:marBottom w:val="0"/>
          <w:divBdr>
            <w:top w:val="none" w:sz="0" w:space="0" w:color="auto"/>
            <w:left w:val="none" w:sz="0" w:space="0" w:color="auto"/>
            <w:bottom w:val="none" w:sz="0" w:space="0" w:color="auto"/>
            <w:right w:val="none" w:sz="0" w:space="0" w:color="auto"/>
          </w:divBdr>
          <w:divsChild>
            <w:div w:id="1853449113">
              <w:marLeft w:val="0"/>
              <w:marRight w:val="0"/>
              <w:marTop w:val="0"/>
              <w:marBottom w:val="0"/>
              <w:divBdr>
                <w:top w:val="none" w:sz="0" w:space="0" w:color="auto"/>
                <w:left w:val="none" w:sz="0" w:space="0" w:color="auto"/>
                <w:bottom w:val="none" w:sz="0" w:space="0" w:color="auto"/>
                <w:right w:val="none" w:sz="0" w:space="0" w:color="auto"/>
              </w:divBdr>
              <w:divsChild>
                <w:div w:id="1853449103">
                  <w:marLeft w:val="0"/>
                  <w:marRight w:val="0"/>
                  <w:marTop w:val="0"/>
                  <w:marBottom w:val="0"/>
                  <w:divBdr>
                    <w:top w:val="none" w:sz="0" w:space="0" w:color="auto"/>
                    <w:left w:val="none" w:sz="0" w:space="0" w:color="auto"/>
                    <w:bottom w:val="none" w:sz="0" w:space="0" w:color="auto"/>
                    <w:right w:val="none" w:sz="0" w:space="0" w:color="auto"/>
                  </w:divBdr>
                  <w:divsChild>
                    <w:div w:id="1853449118">
                      <w:marLeft w:val="0"/>
                      <w:marRight w:val="0"/>
                      <w:marTop w:val="0"/>
                      <w:marBottom w:val="300"/>
                      <w:divBdr>
                        <w:top w:val="none" w:sz="0" w:space="0" w:color="auto"/>
                        <w:left w:val="none" w:sz="0" w:space="0" w:color="auto"/>
                        <w:bottom w:val="none" w:sz="0" w:space="0" w:color="auto"/>
                        <w:right w:val="none" w:sz="0" w:space="0" w:color="auto"/>
                      </w:divBdr>
                      <w:divsChild>
                        <w:div w:id="1853449157">
                          <w:marLeft w:val="0"/>
                          <w:marRight w:val="0"/>
                          <w:marTop w:val="0"/>
                          <w:marBottom w:val="0"/>
                          <w:divBdr>
                            <w:top w:val="none" w:sz="0" w:space="0" w:color="auto"/>
                            <w:left w:val="none" w:sz="0" w:space="0" w:color="auto"/>
                            <w:bottom w:val="none" w:sz="0" w:space="0" w:color="auto"/>
                            <w:right w:val="none" w:sz="0" w:space="0" w:color="auto"/>
                          </w:divBdr>
                          <w:divsChild>
                            <w:div w:id="1853449112">
                              <w:marLeft w:val="0"/>
                              <w:marRight w:val="0"/>
                              <w:marTop w:val="0"/>
                              <w:marBottom w:val="0"/>
                              <w:divBdr>
                                <w:top w:val="none" w:sz="0" w:space="0" w:color="auto"/>
                                <w:left w:val="none" w:sz="0" w:space="0" w:color="auto"/>
                                <w:bottom w:val="none" w:sz="0" w:space="0" w:color="auto"/>
                                <w:right w:val="none" w:sz="0" w:space="0" w:color="auto"/>
                              </w:divBdr>
                              <w:divsChild>
                                <w:div w:id="1853449131">
                                  <w:marLeft w:val="0"/>
                                  <w:marRight w:val="0"/>
                                  <w:marTop w:val="0"/>
                                  <w:marBottom w:val="0"/>
                                  <w:divBdr>
                                    <w:top w:val="single" w:sz="2" w:space="0" w:color="E6E6E6"/>
                                    <w:left w:val="single" w:sz="6" w:space="22" w:color="E6E6E6"/>
                                    <w:bottom w:val="single" w:sz="2" w:space="0" w:color="E6E6E6"/>
                                    <w:right w:val="single" w:sz="6" w:space="22" w:color="E6E6E6"/>
                                  </w:divBdr>
                                  <w:divsChild>
                                    <w:div w:id="1853449132">
                                      <w:marLeft w:val="0"/>
                                      <w:marRight w:val="0"/>
                                      <w:marTop w:val="0"/>
                                      <w:marBottom w:val="0"/>
                                      <w:divBdr>
                                        <w:top w:val="none" w:sz="0" w:space="0" w:color="auto"/>
                                        <w:left w:val="none" w:sz="0" w:space="0" w:color="auto"/>
                                        <w:bottom w:val="none" w:sz="0" w:space="0" w:color="auto"/>
                                        <w:right w:val="none" w:sz="0" w:space="0" w:color="auto"/>
                                      </w:divBdr>
                                      <w:divsChild>
                                        <w:div w:id="1853449142">
                                          <w:marLeft w:val="0"/>
                                          <w:marRight w:val="0"/>
                                          <w:marTop w:val="0"/>
                                          <w:marBottom w:val="0"/>
                                          <w:divBdr>
                                            <w:top w:val="none" w:sz="0" w:space="0" w:color="auto"/>
                                            <w:left w:val="none" w:sz="0" w:space="0" w:color="auto"/>
                                            <w:bottom w:val="none" w:sz="0" w:space="0" w:color="auto"/>
                                            <w:right w:val="none" w:sz="0" w:space="0" w:color="auto"/>
                                          </w:divBdr>
                                          <w:divsChild>
                                            <w:div w:id="185344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449125">
      <w:marLeft w:val="0"/>
      <w:marRight w:val="0"/>
      <w:marTop w:val="0"/>
      <w:marBottom w:val="0"/>
      <w:divBdr>
        <w:top w:val="none" w:sz="0" w:space="0" w:color="auto"/>
        <w:left w:val="none" w:sz="0" w:space="0" w:color="auto"/>
        <w:bottom w:val="none" w:sz="0" w:space="0" w:color="auto"/>
        <w:right w:val="none" w:sz="0" w:space="0" w:color="auto"/>
      </w:divBdr>
      <w:divsChild>
        <w:div w:id="1853449143">
          <w:marLeft w:val="0"/>
          <w:marRight w:val="0"/>
          <w:marTop w:val="0"/>
          <w:marBottom w:val="0"/>
          <w:divBdr>
            <w:top w:val="none" w:sz="0" w:space="0" w:color="auto"/>
            <w:left w:val="none" w:sz="0" w:space="0" w:color="auto"/>
            <w:bottom w:val="none" w:sz="0" w:space="0" w:color="auto"/>
            <w:right w:val="none" w:sz="0" w:space="0" w:color="auto"/>
          </w:divBdr>
          <w:divsChild>
            <w:div w:id="1853449163">
              <w:marLeft w:val="0"/>
              <w:marRight w:val="0"/>
              <w:marTop w:val="0"/>
              <w:marBottom w:val="0"/>
              <w:divBdr>
                <w:top w:val="none" w:sz="0" w:space="0" w:color="auto"/>
                <w:left w:val="none" w:sz="0" w:space="0" w:color="auto"/>
                <w:bottom w:val="none" w:sz="0" w:space="0" w:color="auto"/>
                <w:right w:val="none" w:sz="0" w:space="0" w:color="auto"/>
              </w:divBdr>
              <w:divsChild>
                <w:div w:id="1853449162">
                  <w:marLeft w:val="0"/>
                  <w:marRight w:val="0"/>
                  <w:marTop w:val="0"/>
                  <w:marBottom w:val="0"/>
                  <w:divBdr>
                    <w:top w:val="none" w:sz="0" w:space="0" w:color="auto"/>
                    <w:left w:val="none" w:sz="0" w:space="0" w:color="auto"/>
                    <w:bottom w:val="none" w:sz="0" w:space="0" w:color="auto"/>
                    <w:right w:val="none" w:sz="0" w:space="0" w:color="auto"/>
                  </w:divBdr>
                  <w:divsChild>
                    <w:div w:id="1853449114">
                      <w:marLeft w:val="0"/>
                      <w:marRight w:val="0"/>
                      <w:marTop w:val="0"/>
                      <w:marBottom w:val="300"/>
                      <w:divBdr>
                        <w:top w:val="none" w:sz="0" w:space="0" w:color="auto"/>
                        <w:left w:val="none" w:sz="0" w:space="0" w:color="auto"/>
                        <w:bottom w:val="none" w:sz="0" w:space="0" w:color="auto"/>
                        <w:right w:val="none" w:sz="0" w:space="0" w:color="auto"/>
                      </w:divBdr>
                      <w:divsChild>
                        <w:div w:id="1853449123">
                          <w:marLeft w:val="0"/>
                          <w:marRight w:val="0"/>
                          <w:marTop w:val="0"/>
                          <w:marBottom w:val="0"/>
                          <w:divBdr>
                            <w:top w:val="none" w:sz="0" w:space="0" w:color="auto"/>
                            <w:left w:val="none" w:sz="0" w:space="0" w:color="auto"/>
                            <w:bottom w:val="none" w:sz="0" w:space="0" w:color="auto"/>
                            <w:right w:val="none" w:sz="0" w:space="0" w:color="auto"/>
                          </w:divBdr>
                          <w:divsChild>
                            <w:div w:id="1853449100">
                              <w:marLeft w:val="0"/>
                              <w:marRight w:val="0"/>
                              <w:marTop w:val="0"/>
                              <w:marBottom w:val="0"/>
                              <w:divBdr>
                                <w:top w:val="none" w:sz="0" w:space="0" w:color="auto"/>
                                <w:left w:val="none" w:sz="0" w:space="0" w:color="auto"/>
                                <w:bottom w:val="none" w:sz="0" w:space="0" w:color="auto"/>
                                <w:right w:val="none" w:sz="0" w:space="0" w:color="auto"/>
                              </w:divBdr>
                              <w:divsChild>
                                <w:div w:id="1853449129">
                                  <w:marLeft w:val="0"/>
                                  <w:marRight w:val="0"/>
                                  <w:marTop w:val="0"/>
                                  <w:marBottom w:val="0"/>
                                  <w:divBdr>
                                    <w:top w:val="single" w:sz="2" w:space="0" w:color="E6E6E6"/>
                                    <w:left w:val="single" w:sz="6" w:space="22" w:color="E6E6E6"/>
                                    <w:bottom w:val="single" w:sz="2" w:space="0" w:color="E6E6E6"/>
                                    <w:right w:val="single" w:sz="6" w:space="22" w:color="E6E6E6"/>
                                  </w:divBdr>
                                  <w:divsChild>
                                    <w:div w:id="1853449126">
                                      <w:marLeft w:val="0"/>
                                      <w:marRight w:val="0"/>
                                      <w:marTop w:val="0"/>
                                      <w:marBottom w:val="0"/>
                                      <w:divBdr>
                                        <w:top w:val="none" w:sz="0" w:space="0" w:color="auto"/>
                                        <w:left w:val="none" w:sz="0" w:space="0" w:color="auto"/>
                                        <w:bottom w:val="none" w:sz="0" w:space="0" w:color="auto"/>
                                        <w:right w:val="none" w:sz="0" w:space="0" w:color="auto"/>
                                      </w:divBdr>
                                      <w:divsChild>
                                        <w:div w:id="1853449167">
                                          <w:marLeft w:val="0"/>
                                          <w:marRight w:val="0"/>
                                          <w:marTop w:val="0"/>
                                          <w:marBottom w:val="0"/>
                                          <w:divBdr>
                                            <w:top w:val="none" w:sz="0" w:space="0" w:color="auto"/>
                                            <w:left w:val="none" w:sz="0" w:space="0" w:color="auto"/>
                                            <w:bottom w:val="none" w:sz="0" w:space="0" w:color="auto"/>
                                            <w:right w:val="none" w:sz="0" w:space="0" w:color="auto"/>
                                          </w:divBdr>
                                          <w:divsChild>
                                            <w:div w:id="18534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449134">
      <w:marLeft w:val="0"/>
      <w:marRight w:val="0"/>
      <w:marTop w:val="0"/>
      <w:marBottom w:val="0"/>
      <w:divBdr>
        <w:top w:val="none" w:sz="0" w:space="0" w:color="auto"/>
        <w:left w:val="none" w:sz="0" w:space="0" w:color="auto"/>
        <w:bottom w:val="none" w:sz="0" w:space="0" w:color="auto"/>
        <w:right w:val="none" w:sz="0" w:space="0" w:color="auto"/>
      </w:divBdr>
      <w:divsChild>
        <w:div w:id="1853449117">
          <w:marLeft w:val="0"/>
          <w:marRight w:val="0"/>
          <w:marTop w:val="0"/>
          <w:marBottom w:val="0"/>
          <w:divBdr>
            <w:top w:val="none" w:sz="0" w:space="0" w:color="auto"/>
            <w:left w:val="none" w:sz="0" w:space="0" w:color="auto"/>
            <w:bottom w:val="none" w:sz="0" w:space="0" w:color="auto"/>
            <w:right w:val="none" w:sz="0" w:space="0" w:color="auto"/>
          </w:divBdr>
          <w:divsChild>
            <w:div w:id="1853449092">
              <w:marLeft w:val="0"/>
              <w:marRight w:val="0"/>
              <w:marTop w:val="0"/>
              <w:marBottom w:val="0"/>
              <w:divBdr>
                <w:top w:val="none" w:sz="0" w:space="0" w:color="auto"/>
                <w:left w:val="none" w:sz="0" w:space="0" w:color="auto"/>
                <w:bottom w:val="none" w:sz="0" w:space="0" w:color="auto"/>
                <w:right w:val="none" w:sz="0" w:space="0" w:color="auto"/>
              </w:divBdr>
              <w:divsChild>
                <w:div w:id="1853449124">
                  <w:marLeft w:val="0"/>
                  <w:marRight w:val="0"/>
                  <w:marTop w:val="0"/>
                  <w:marBottom w:val="0"/>
                  <w:divBdr>
                    <w:top w:val="none" w:sz="0" w:space="0" w:color="auto"/>
                    <w:left w:val="none" w:sz="0" w:space="0" w:color="auto"/>
                    <w:bottom w:val="none" w:sz="0" w:space="0" w:color="auto"/>
                    <w:right w:val="none" w:sz="0" w:space="0" w:color="auto"/>
                  </w:divBdr>
                  <w:divsChild>
                    <w:div w:id="1853449165">
                      <w:marLeft w:val="0"/>
                      <w:marRight w:val="0"/>
                      <w:marTop w:val="0"/>
                      <w:marBottom w:val="300"/>
                      <w:divBdr>
                        <w:top w:val="none" w:sz="0" w:space="0" w:color="auto"/>
                        <w:left w:val="none" w:sz="0" w:space="0" w:color="auto"/>
                        <w:bottom w:val="none" w:sz="0" w:space="0" w:color="auto"/>
                        <w:right w:val="none" w:sz="0" w:space="0" w:color="auto"/>
                      </w:divBdr>
                      <w:divsChild>
                        <w:div w:id="1853449116">
                          <w:marLeft w:val="0"/>
                          <w:marRight w:val="0"/>
                          <w:marTop w:val="0"/>
                          <w:marBottom w:val="0"/>
                          <w:divBdr>
                            <w:top w:val="none" w:sz="0" w:space="0" w:color="auto"/>
                            <w:left w:val="none" w:sz="0" w:space="0" w:color="auto"/>
                            <w:bottom w:val="none" w:sz="0" w:space="0" w:color="auto"/>
                            <w:right w:val="none" w:sz="0" w:space="0" w:color="auto"/>
                          </w:divBdr>
                          <w:divsChild>
                            <w:div w:id="1853449094">
                              <w:marLeft w:val="0"/>
                              <w:marRight w:val="0"/>
                              <w:marTop w:val="0"/>
                              <w:marBottom w:val="0"/>
                              <w:divBdr>
                                <w:top w:val="none" w:sz="0" w:space="0" w:color="auto"/>
                                <w:left w:val="none" w:sz="0" w:space="0" w:color="auto"/>
                                <w:bottom w:val="none" w:sz="0" w:space="0" w:color="auto"/>
                                <w:right w:val="none" w:sz="0" w:space="0" w:color="auto"/>
                              </w:divBdr>
                              <w:divsChild>
                                <w:div w:id="1853449127">
                                  <w:marLeft w:val="0"/>
                                  <w:marRight w:val="0"/>
                                  <w:marTop w:val="0"/>
                                  <w:marBottom w:val="0"/>
                                  <w:divBdr>
                                    <w:top w:val="single" w:sz="2" w:space="0" w:color="E6E6E6"/>
                                    <w:left w:val="single" w:sz="6" w:space="22" w:color="E6E6E6"/>
                                    <w:bottom w:val="single" w:sz="2" w:space="0" w:color="E6E6E6"/>
                                    <w:right w:val="single" w:sz="6" w:space="22" w:color="E6E6E6"/>
                                  </w:divBdr>
                                  <w:divsChild>
                                    <w:div w:id="1853449095">
                                      <w:marLeft w:val="0"/>
                                      <w:marRight w:val="0"/>
                                      <w:marTop w:val="0"/>
                                      <w:marBottom w:val="0"/>
                                      <w:divBdr>
                                        <w:top w:val="none" w:sz="0" w:space="0" w:color="auto"/>
                                        <w:left w:val="none" w:sz="0" w:space="0" w:color="auto"/>
                                        <w:bottom w:val="none" w:sz="0" w:space="0" w:color="auto"/>
                                        <w:right w:val="none" w:sz="0" w:space="0" w:color="auto"/>
                                      </w:divBdr>
                                      <w:divsChild>
                                        <w:div w:id="1853449174">
                                          <w:marLeft w:val="0"/>
                                          <w:marRight w:val="0"/>
                                          <w:marTop w:val="0"/>
                                          <w:marBottom w:val="0"/>
                                          <w:divBdr>
                                            <w:top w:val="none" w:sz="0" w:space="0" w:color="auto"/>
                                            <w:left w:val="none" w:sz="0" w:space="0" w:color="auto"/>
                                            <w:bottom w:val="none" w:sz="0" w:space="0" w:color="auto"/>
                                            <w:right w:val="none" w:sz="0" w:space="0" w:color="auto"/>
                                          </w:divBdr>
                                          <w:divsChild>
                                            <w:div w:id="185344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449147">
      <w:marLeft w:val="0"/>
      <w:marRight w:val="0"/>
      <w:marTop w:val="0"/>
      <w:marBottom w:val="0"/>
      <w:divBdr>
        <w:top w:val="none" w:sz="0" w:space="0" w:color="auto"/>
        <w:left w:val="none" w:sz="0" w:space="0" w:color="auto"/>
        <w:bottom w:val="none" w:sz="0" w:space="0" w:color="auto"/>
        <w:right w:val="none" w:sz="0" w:space="0" w:color="auto"/>
      </w:divBdr>
      <w:divsChild>
        <w:div w:id="1853449104">
          <w:marLeft w:val="0"/>
          <w:marRight w:val="0"/>
          <w:marTop w:val="0"/>
          <w:marBottom w:val="0"/>
          <w:divBdr>
            <w:top w:val="none" w:sz="0" w:space="0" w:color="auto"/>
            <w:left w:val="none" w:sz="0" w:space="0" w:color="auto"/>
            <w:bottom w:val="none" w:sz="0" w:space="0" w:color="auto"/>
            <w:right w:val="none" w:sz="0" w:space="0" w:color="auto"/>
          </w:divBdr>
          <w:divsChild>
            <w:div w:id="1853449128">
              <w:marLeft w:val="0"/>
              <w:marRight w:val="0"/>
              <w:marTop w:val="0"/>
              <w:marBottom w:val="0"/>
              <w:divBdr>
                <w:top w:val="none" w:sz="0" w:space="0" w:color="auto"/>
                <w:left w:val="none" w:sz="0" w:space="0" w:color="auto"/>
                <w:bottom w:val="none" w:sz="0" w:space="0" w:color="auto"/>
                <w:right w:val="none" w:sz="0" w:space="0" w:color="auto"/>
              </w:divBdr>
              <w:divsChild>
                <w:div w:id="1853449096">
                  <w:marLeft w:val="0"/>
                  <w:marRight w:val="0"/>
                  <w:marTop w:val="0"/>
                  <w:marBottom w:val="0"/>
                  <w:divBdr>
                    <w:top w:val="none" w:sz="0" w:space="0" w:color="auto"/>
                    <w:left w:val="none" w:sz="0" w:space="0" w:color="auto"/>
                    <w:bottom w:val="none" w:sz="0" w:space="0" w:color="auto"/>
                    <w:right w:val="none" w:sz="0" w:space="0" w:color="auto"/>
                  </w:divBdr>
                  <w:divsChild>
                    <w:div w:id="1853449148">
                      <w:marLeft w:val="0"/>
                      <w:marRight w:val="0"/>
                      <w:marTop w:val="0"/>
                      <w:marBottom w:val="300"/>
                      <w:divBdr>
                        <w:top w:val="none" w:sz="0" w:space="0" w:color="auto"/>
                        <w:left w:val="none" w:sz="0" w:space="0" w:color="auto"/>
                        <w:bottom w:val="none" w:sz="0" w:space="0" w:color="auto"/>
                        <w:right w:val="none" w:sz="0" w:space="0" w:color="auto"/>
                      </w:divBdr>
                      <w:divsChild>
                        <w:div w:id="1853449166">
                          <w:marLeft w:val="0"/>
                          <w:marRight w:val="0"/>
                          <w:marTop w:val="0"/>
                          <w:marBottom w:val="0"/>
                          <w:divBdr>
                            <w:top w:val="none" w:sz="0" w:space="0" w:color="auto"/>
                            <w:left w:val="none" w:sz="0" w:space="0" w:color="auto"/>
                            <w:bottom w:val="none" w:sz="0" w:space="0" w:color="auto"/>
                            <w:right w:val="none" w:sz="0" w:space="0" w:color="auto"/>
                          </w:divBdr>
                          <w:divsChild>
                            <w:div w:id="1853449158">
                              <w:marLeft w:val="0"/>
                              <w:marRight w:val="0"/>
                              <w:marTop w:val="0"/>
                              <w:marBottom w:val="0"/>
                              <w:divBdr>
                                <w:top w:val="none" w:sz="0" w:space="0" w:color="auto"/>
                                <w:left w:val="none" w:sz="0" w:space="0" w:color="auto"/>
                                <w:bottom w:val="none" w:sz="0" w:space="0" w:color="auto"/>
                                <w:right w:val="none" w:sz="0" w:space="0" w:color="auto"/>
                              </w:divBdr>
                              <w:divsChild>
                                <w:div w:id="1853449098">
                                  <w:marLeft w:val="0"/>
                                  <w:marRight w:val="0"/>
                                  <w:marTop w:val="0"/>
                                  <w:marBottom w:val="0"/>
                                  <w:divBdr>
                                    <w:top w:val="single" w:sz="2" w:space="0" w:color="E6E6E6"/>
                                    <w:left w:val="single" w:sz="6" w:space="22" w:color="E6E6E6"/>
                                    <w:bottom w:val="single" w:sz="2" w:space="0" w:color="E6E6E6"/>
                                    <w:right w:val="single" w:sz="6" w:space="22" w:color="E6E6E6"/>
                                  </w:divBdr>
                                  <w:divsChild>
                                    <w:div w:id="1853449139">
                                      <w:marLeft w:val="0"/>
                                      <w:marRight w:val="0"/>
                                      <w:marTop w:val="0"/>
                                      <w:marBottom w:val="0"/>
                                      <w:divBdr>
                                        <w:top w:val="none" w:sz="0" w:space="0" w:color="auto"/>
                                        <w:left w:val="none" w:sz="0" w:space="0" w:color="auto"/>
                                        <w:bottom w:val="none" w:sz="0" w:space="0" w:color="auto"/>
                                        <w:right w:val="none" w:sz="0" w:space="0" w:color="auto"/>
                                      </w:divBdr>
                                      <w:divsChild>
                                        <w:div w:id="1853449130">
                                          <w:marLeft w:val="0"/>
                                          <w:marRight w:val="0"/>
                                          <w:marTop w:val="0"/>
                                          <w:marBottom w:val="0"/>
                                          <w:divBdr>
                                            <w:top w:val="none" w:sz="0" w:space="0" w:color="auto"/>
                                            <w:left w:val="none" w:sz="0" w:space="0" w:color="auto"/>
                                            <w:bottom w:val="none" w:sz="0" w:space="0" w:color="auto"/>
                                            <w:right w:val="none" w:sz="0" w:space="0" w:color="auto"/>
                                          </w:divBdr>
                                          <w:divsChild>
                                            <w:div w:id="185344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449149">
      <w:marLeft w:val="0"/>
      <w:marRight w:val="0"/>
      <w:marTop w:val="0"/>
      <w:marBottom w:val="0"/>
      <w:divBdr>
        <w:top w:val="none" w:sz="0" w:space="0" w:color="auto"/>
        <w:left w:val="none" w:sz="0" w:space="0" w:color="auto"/>
        <w:bottom w:val="none" w:sz="0" w:space="0" w:color="auto"/>
        <w:right w:val="none" w:sz="0" w:space="0" w:color="auto"/>
      </w:divBdr>
    </w:div>
    <w:div w:id="1853449150">
      <w:marLeft w:val="0"/>
      <w:marRight w:val="0"/>
      <w:marTop w:val="0"/>
      <w:marBottom w:val="0"/>
      <w:divBdr>
        <w:top w:val="none" w:sz="0" w:space="0" w:color="auto"/>
        <w:left w:val="none" w:sz="0" w:space="0" w:color="auto"/>
        <w:bottom w:val="none" w:sz="0" w:space="0" w:color="auto"/>
        <w:right w:val="none" w:sz="0" w:space="0" w:color="auto"/>
      </w:divBdr>
    </w:div>
    <w:div w:id="1853449151">
      <w:marLeft w:val="0"/>
      <w:marRight w:val="0"/>
      <w:marTop w:val="0"/>
      <w:marBottom w:val="0"/>
      <w:divBdr>
        <w:top w:val="none" w:sz="0" w:space="0" w:color="auto"/>
        <w:left w:val="none" w:sz="0" w:space="0" w:color="auto"/>
        <w:bottom w:val="none" w:sz="0" w:space="0" w:color="auto"/>
        <w:right w:val="none" w:sz="0" w:space="0" w:color="auto"/>
      </w:divBdr>
    </w:div>
    <w:div w:id="1853449152">
      <w:marLeft w:val="0"/>
      <w:marRight w:val="0"/>
      <w:marTop w:val="0"/>
      <w:marBottom w:val="0"/>
      <w:divBdr>
        <w:top w:val="none" w:sz="0" w:space="0" w:color="auto"/>
        <w:left w:val="none" w:sz="0" w:space="0" w:color="auto"/>
        <w:bottom w:val="none" w:sz="0" w:space="0" w:color="auto"/>
        <w:right w:val="none" w:sz="0" w:space="0" w:color="auto"/>
      </w:divBdr>
    </w:div>
    <w:div w:id="1853449153">
      <w:marLeft w:val="0"/>
      <w:marRight w:val="0"/>
      <w:marTop w:val="0"/>
      <w:marBottom w:val="0"/>
      <w:divBdr>
        <w:top w:val="none" w:sz="0" w:space="0" w:color="auto"/>
        <w:left w:val="none" w:sz="0" w:space="0" w:color="auto"/>
        <w:bottom w:val="none" w:sz="0" w:space="0" w:color="auto"/>
        <w:right w:val="none" w:sz="0" w:space="0" w:color="auto"/>
      </w:divBdr>
    </w:div>
    <w:div w:id="1853449154">
      <w:marLeft w:val="0"/>
      <w:marRight w:val="0"/>
      <w:marTop w:val="0"/>
      <w:marBottom w:val="0"/>
      <w:divBdr>
        <w:top w:val="none" w:sz="0" w:space="0" w:color="auto"/>
        <w:left w:val="none" w:sz="0" w:space="0" w:color="auto"/>
        <w:bottom w:val="none" w:sz="0" w:space="0" w:color="auto"/>
        <w:right w:val="none" w:sz="0" w:space="0" w:color="auto"/>
      </w:divBdr>
    </w:div>
    <w:div w:id="1853449155">
      <w:marLeft w:val="0"/>
      <w:marRight w:val="0"/>
      <w:marTop w:val="0"/>
      <w:marBottom w:val="0"/>
      <w:divBdr>
        <w:top w:val="none" w:sz="0" w:space="0" w:color="auto"/>
        <w:left w:val="none" w:sz="0" w:space="0" w:color="auto"/>
        <w:bottom w:val="none" w:sz="0" w:space="0" w:color="auto"/>
        <w:right w:val="none" w:sz="0" w:space="0" w:color="auto"/>
      </w:divBdr>
      <w:divsChild>
        <w:div w:id="1853449156">
          <w:marLeft w:val="0"/>
          <w:marRight w:val="0"/>
          <w:marTop w:val="0"/>
          <w:marBottom w:val="0"/>
          <w:divBdr>
            <w:top w:val="none" w:sz="0" w:space="0" w:color="auto"/>
            <w:left w:val="none" w:sz="0" w:space="0" w:color="auto"/>
            <w:bottom w:val="none" w:sz="0" w:space="0" w:color="auto"/>
            <w:right w:val="none" w:sz="0" w:space="0" w:color="auto"/>
          </w:divBdr>
        </w:div>
      </w:divsChild>
    </w:div>
    <w:div w:id="1853449161">
      <w:marLeft w:val="0"/>
      <w:marRight w:val="0"/>
      <w:marTop w:val="0"/>
      <w:marBottom w:val="0"/>
      <w:divBdr>
        <w:top w:val="none" w:sz="0" w:space="0" w:color="auto"/>
        <w:left w:val="none" w:sz="0" w:space="0" w:color="auto"/>
        <w:bottom w:val="none" w:sz="0" w:space="0" w:color="auto"/>
        <w:right w:val="none" w:sz="0" w:space="0" w:color="auto"/>
      </w:divBdr>
      <w:divsChild>
        <w:div w:id="1853449137">
          <w:marLeft w:val="0"/>
          <w:marRight w:val="0"/>
          <w:marTop w:val="0"/>
          <w:marBottom w:val="0"/>
          <w:divBdr>
            <w:top w:val="none" w:sz="0" w:space="0" w:color="auto"/>
            <w:left w:val="none" w:sz="0" w:space="0" w:color="auto"/>
            <w:bottom w:val="none" w:sz="0" w:space="0" w:color="auto"/>
            <w:right w:val="none" w:sz="0" w:space="0" w:color="auto"/>
          </w:divBdr>
          <w:divsChild>
            <w:div w:id="1853449171">
              <w:marLeft w:val="0"/>
              <w:marRight w:val="0"/>
              <w:marTop w:val="0"/>
              <w:marBottom w:val="0"/>
              <w:divBdr>
                <w:top w:val="none" w:sz="0" w:space="0" w:color="auto"/>
                <w:left w:val="none" w:sz="0" w:space="0" w:color="auto"/>
                <w:bottom w:val="none" w:sz="0" w:space="0" w:color="auto"/>
                <w:right w:val="none" w:sz="0" w:space="0" w:color="auto"/>
              </w:divBdr>
              <w:divsChild>
                <w:div w:id="1853449119">
                  <w:marLeft w:val="0"/>
                  <w:marRight w:val="0"/>
                  <w:marTop w:val="0"/>
                  <w:marBottom w:val="0"/>
                  <w:divBdr>
                    <w:top w:val="none" w:sz="0" w:space="0" w:color="auto"/>
                    <w:left w:val="none" w:sz="0" w:space="0" w:color="auto"/>
                    <w:bottom w:val="none" w:sz="0" w:space="0" w:color="auto"/>
                    <w:right w:val="none" w:sz="0" w:space="0" w:color="auto"/>
                  </w:divBdr>
                  <w:divsChild>
                    <w:div w:id="1853449107">
                      <w:marLeft w:val="0"/>
                      <w:marRight w:val="0"/>
                      <w:marTop w:val="0"/>
                      <w:marBottom w:val="300"/>
                      <w:divBdr>
                        <w:top w:val="none" w:sz="0" w:space="0" w:color="auto"/>
                        <w:left w:val="none" w:sz="0" w:space="0" w:color="auto"/>
                        <w:bottom w:val="none" w:sz="0" w:space="0" w:color="auto"/>
                        <w:right w:val="none" w:sz="0" w:space="0" w:color="auto"/>
                      </w:divBdr>
                      <w:divsChild>
                        <w:div w:id="1853449110">
                          <w:marLeft w:val="0"/>
                          <w:marRight w:val="0"/>
                          <w:marTop w:val="0"/>
                          <w:marBottom w:val="0"/>
                          <w:divBdr>
                            <w:top w:val="none" w:sz="0" w:space="0" w:color="auto"/>
                            <w:left w:val="none" w:sz="0" w:space="0" w:color="auto"/>
                            <w:bottom w:val="none" w:sz="0" w:space="0" w:color="auto"/>
                            <w:right w:val="none" w:sz="0" w:space="0" w:color="auto"/>
                          </w:divBdr>
                          <w:divsChild>
                            <w:div w:id="1853449121">
                              <w:marLeft w:val="0"/>
                              <w:marRight w:val="0"/>
                              <w:marTop w:val="0"/>
                              <w:marBottom w:val="0"/>
                              <w:divBdr>
                                <w:top w:val="none" w:sz="0" w:space="0" w:color="auto"/>
                                <w:left w:val="none" w:sz="0" w:space="0" w:color="auto"/>
                                <w:bottom w:val="none" w:sz="0" w:space="0" w:color="auto"/>
                                <w:right w:val="none" w:sz="0" w:space="0" w:color="auto"/>
                              </w:divBdr>
                              <w:divsChild>
                                <w:div w:id="1853449136">
                                  <w:marLeft w:val="0"/>
                                  <w:marRight w:val="0"/>
                                  <w:marTop w:val="0"/>
                                  <w:marBottom w:val="0"/>
                                  <w:divBdr>
                                    <w:top w:val="single" w:sz="2" w:space="0" w:color="E6E6E6"/>
                                    <w:left w:val="single" w:sz="6" w:space="22" w:color="E6E6E6"/>
                                    <w:bottom w:val="single" w:sz="2" w:space="0" w:color="E6E6E6"/>
                                    <w:right w:val="single" w:sz="6" w:space="22" w:color="E6E6E6"/>
                                  </w:divBdr>
                                  <w:divsChild>
                                    <w:div w:id="1853449120">
                                      <w:marLeft w:val="0"/>
                                      <w:marRight w:val="0"/>
                                      <w:marTop w:val="0"/>
                                      <w:marBottom w:val="0"/>
                                      <w:divBdr>
                                        <w:top w:val="none" w:sz="0" w:space="0" w:color="auto"/>
                                        <w:left w:val="none" w:sz="0" w:space="0" w:color="auto"/>
                                        <w:bottom w:val="none" w:sz="0" w:space="0" w:color="auto"/>
                                        <w:right w:val="none" w:sz="0" w:space="0" w:color="auto"/>
                                      </w:divBdr>
                                      <w:divsChild>
                                        <w:div w:id="1853449173">
                                          <w:marLeft w:val="0"/>
                                          <w:marRight w:val="0"/>
                                          <w:marTop w:val="0"/>
                                          <w:marBottom w:val="0"/>
                                          <w:divBdr>
                                            <w:top w:val="none" w:sz="0" w:space="0" w:color="auto"/>
                                            <w:left w:val="none" w:sz="0" w:space="0" w:color="auto"/>
                                            <w:bottom w:val="none" w:sz="0" w:space="0" w:color="auto"/>
                                            <w:right w:val="none" w:sz="0" w:space="0" w:color="auto"/>
                                          </w:divBdr>
                                          <w:divsChild>
                                            <w:div w:id="185344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449175">
      <w:marLeft w:val="0"/>
      <w:marRight w:val="0"/>
      <w:marTop w:val="0"/>
      <w:marBottom w:val="0"/>
      <w:divBdr>
        <w:top w:val="none" w:sz="0" w:space="0" w:color="auto"/>
        <w:left w:val="none" w:sz="0" w:space="0" w:color="auto"/>
        <w:bottom w:val="none" w:sz="0" w:space="0" w:color="auto"/>
        <w:right w:val="none" w:sz="0" w:space="0" w:color="auto"/>
      </w:divBdr>
    </w:div>
    <w:div w:id="1853449176">
      <w:marLeft w:val="0"/>
      <w:marRight w:val="0"/>
      <w:marTop w:val="0"/>
      <w:marBottom w:val="0"/>
      <w:divBdr>
        <w:top w:val="none" w:sz="0" w:space="0" w:color="auto"/>
        <w:left w:val="none" w:sz="0" w:space="0" w:color="auto"/>
        <w:bottom w:val="none" w:sz="0" w:space="0" w:color="auto"/>
        <w:right w:val="none" w:sz="0" w:space="0" w:color="auto"/>
      </w:divBdr>
    </w:div>
    <w:div w:id="1853449177">
      <w:marLeft w:val="0"/>
      <w:marRight w:val="0"/>
      <w:marTop w:val="0"/>
      <w:marBottom w:val="0"/>
      <w:divBdr>
        <w:top w:val="none" w:sz="0" w:space="0" w:color="auto"/>
        <w:left w:val="none" w:sz="0" w:space="0" w:color="auto"/>
        <w:bottom w:val="none" w:sz="0" w:space="0" w:color="auto"/>
        <w:right w:val="none" w:sz="0" w:space="0" w:color="auto"/>
      </w:divBdr>
    </w:div>
    <w:div w:id="1853449178">
      <w:marLeft w:val="0"/>
      <w:marRight w:val="0"/>
      <w:marTop w:val="0"/>
      <w:marBottom w:val="0"/>
      <w:divBdr>
        <w:top w:val="none" w:sz="0" w:space="0" w:color="auto"/>
        <w:left w:val="none" w:sz="0" w:space="0" w:color="auto"/>
        <w:bottom w:val="none" w:sz="0" w:space="0" w:color="auto"/>
        <w:right w:val="none" w:sz="0" w:space="0" w:color="auto"/>
      </w:divBdr>
    </w:div>
    <w:div w:id="1853449179">
      <w:marLeft w:val="0"/>
      <w:marRight w:val="0"/>
      <w:marTop w:val="0"/>
      <w:marBottom w:val="0"/>
      <w:divBdr>
        <w:top w:val="none" w:sz="0" w:space="0" w:color="auto"/>
        <w:left w:val="none" w:sz="0" w:space="0" w:color="auto"/>
        <w:bottom w:val="none" w:sz="0" w:space="0" w:color="auto"/>
        <w:right w:val="none" w:sz="0" w:space="0" w:color="auto"/>
      </w:divBdr>
    </w:div>
    <w:div w:id="1853449180">
      <w:marLeft w:val="0"/>
      <w:marRight w:val="0"/>
      <w:marTop w:val="0"/>
      <w:marBottom w:val="0"/>
      <w:divBdr>
        <w:top w:val="none" w:sz="0" w:space="0" w:color="auto"/>
        <w:left w:val="none" w:sz="0" w:space="0" w:color="auto"/>
        <w:bottom w:val="none" w:sz="0" w:space="0" w:color="auto"/>
        <w:right w:val="none" w:sz="0" w:space="0" w:color="auto"/>
      </w:divBdr>
    </w:div>
    <w:div w:id="1853449181">
      <w:marLeft w:val="0"/>
      <w:marRight w:val="0"/>
      <w:marTop w:val="0"/>
      <w:marBottom w:val="0"/>
      <w:divBdr>
        <w:top w:val="none" w:sz="0" w:space="0" w:color="auto"/>
        <w:left w:val="none" w:sz="0" w:space="0" w:color="auto"/>
        <w:bottom w:val="none" w:sz="0" w:space="0" w:color="auto"/>
        <w:right w:val="none" w:sz="0" w:space="0" w:color="auto"/>
      </w:divBdr>
    </w:div>
    <w:div w:id="1853449182">
      <w:marLeft w:val="0"/>
      <w:marRight w:val="0"/>
      <w:marTop w:val="0"/>
      <w:marBottom w:val="0"/>
      <w:divBdr>
        <w:top w:val="none" w:sz="0" w:space="0" w:color="auto"/>
        <w:left w:val="none" w:sz="0" w:space="0" w:color="auto"/>
        <w:bottom w:val="none" w:sz="0" w:space="0" w:color="auto"/>
        <w:right w:val="none" w:sz="0" w:space="0" w:color="auto"/>
      </w:divBdr>
    </w:div>
    <w:div w:id="1853449183">
      <w:marLeft w:val="0"/>
      <w:marRight w:val="0"/>
      <w:marTop w:val="0"/>
      <w:marBottom w:val="0"/>
      <w:divBdr>
        <w:top w:val="none" w:sz="0" w:space="0" w:color="auto"/>
        <w:left w:val="none" w:sz="0" w:space="0" w:color="auto"/>
        <w:bottom w:val="none" w:sz="0" w:space="0" w:color="auto"/>
        <w:right w:val="none" w:sz="0" w:space="0" w:color="auto"/>
      </w:divBdr>
    </w:div>
    <w:div w:id="1853449184">
      <w:marLeft w:val="0"/>
      <w:marRight w:val="0"/>
      <w:marTop w:val="0"/>
      <w:marBottom w:val="0"/>
      <w:divBdr>
        <w:top w:val="none" w:sz="0" w:space="0" w:color="auto"/>
        <w:left w:val="none" w:sz="0" w:space="0" w:color="auto"/>
        <w:bottom w:val="none" w:sz="0" w:space="0" w:color="auto"/>
        <w:right w:val="none" w:sz="0" w:space="0" w:color="auto"/>
      </w:divBdr>
    </w:div>
    <w:div w:id="1853449185">
      <w:marLeft w:val="0"/>
      <w:marRight w:val="0"/>
      <w:marTop w:val="0"/>
      <w:marBottom w:val="0"/>
      <w:divBdr>
        <w:top w:val="none" w:sz="0" w:space="0" w:color="auto"/>
        <w:left w:val="none" w:sz="0" w:space="0" w:color="auto"/>
        <w:bottom w:val="none" w:sz="0" w:space="0" w:color="auto"/>
        <w:right w:val="none" w:sz="0" w:space="0" w:color="auto"/>
      </w:divBdr>
    </w:div>
    <w:div w:id="1853449186">
      <w:marLeft w:val="0"/>
      <w:marRight w:val="0"/>
      <w:marTop w:val="0"/>
      <w:marBottom w:val="0"/>
      <w:divBdr>
        <w:top w:val="none" w:sz="0" w:space="0" w:color="auto"/>
        <w:left w:val="none" w:sz="0" w:space="0" w:color="auto"/>
        <w:bottom w:val="none" w:sz="0" w:space="0" w:color="auto"/>
        <w:right w:val="none" w:sz="0" w:space="0" w:color="auto"/>
      </w:divBdr>
    </w:div>
    <w:div w:id="1853449187">
      <w:marLeft w:val="0"/>
      <w:marRight w:val="0"/>
      <w:marTop w:val="0"/>
      <w:marBottom w:val="0"/>
      <w:divBdr>
        <w:top w:val="none" w:sz="0" w:space="0" w:color="auto"/>
        <w:left w:val="none" w:sz="0" w:space="0" w:color="auto"/>
        <w:bottom w:val="none" w:sz="0" w:space="0" w:color="auto"/>
        <w:right w:val="none" w:sz="0" w:space="0" w:color="auto"/>
      </w:divBdr>
    </w:div>
    <w:div w:id="1853449188">
      <w:marLeft w:val="0"/>
      <w:marRight w:val="0"/>
      <w:marTop w:val="0"/>
      <w:marBottom w:val="0"/>
      <w:divBdr>
        <w:top w:val="none" w:sz="0" w:space="0" w:color="auto"/>
        <w:left w:val="none" w:sz="0" w:space="0" w:color="auto"/>
        <w:bottom w:val="none" w:sz="0" w:space="0" w:color="auto"/>
        <w:right w:val="none" w:sz="0" w:space="0" w:color="auto"/>
      </w:divBdr>
    </w:div>
    <w:div w:id="1853449189">
      <w:marLeft w:val="0"/>
      <w:marRight w:val="0"/>
      <w:marTop w:val="0"/>
      <w:marBottom w:val="0"/>
      <w:divBdr>
        <w:top w:val="none" w:sz="0" w:space="0" w:color="auto"/>
        <w:left w:val="none" w:sz="0" w:space="0" w:color="auto"/>
        <w:bottom w:val="none" w:sz="0" w:space="0" w:color="auto"/>
        <w:right w:val="none" w:sz="0" w:space="0" w:color="auto"/>
      </w:divBdr>
    </w:div>
    <w:div w:id="1853449190">
      <w:marLeft w:val="0"/>
      <w:marRight w:val="0"/>
      <w:marTop w:val="0"/>
      <w:marBottom w:val="0"/>
      <w:divBdr>
        <w:top w:val="none" w:sz="0" w:space="0" w:color="auto"/>
        <w:left w:val="none" w:sz="0" w:space="0" w:color="auto"/>
        <w:bottom w:val="none" w:sz="0" w:space="0" w:color="auto"/>
        <w:right w:val="none" w:sz="0" w:space="0" w:color="auto"/>
      </w:divBdr>
    </w:div>
    <w:div w:id="1853449191">
      <w:marLeft w:val="0"/>
      <w:marRight w:val="0"/>
      <w:marTop w:val="0"/>
      <w:marBottom w:val="0"/>
      <w:divBdr>
        <w:top w:val="none" w:sz="0" w:space="0" w:color="auto"/>
        <w:left w:val="none" w:sz="0" w:space="0" w:color="auto"/>
        <w:bottom w:val="none" w:sz="0" w:space="0" w:color="auto"/>
        <w:right w:val="none" w:sz="0" w:space="0" w:color="auto"/>
      </w:divBdr>
    </w:div>
    <w:div w:id="185344919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login.consultant.ru/link/?req=doc&amp;demo=2&amp;base=LAW&amp;n=380200&amp;date=26.06.2022" TargetMode="External"/><Relationship Id="rId18" Type="http://schemas.openxmlformats.org/officeDocument/2006/relationships/hyperlink" Target="https://login.consultant.ru/link/?req=doc&amp;demo=2&amp;base=LAW&amp;n=202743&amp;date=26.06.2022" TargetMode="External"/><Relationship Id="rId3" Type="http://schemas.openxmlformats.org/officeDocument/2006/relationships/styles" Target="styles.xml"/><Relationship Id="rId21" Type="http://schemas.openxmlformats.org/officeDocument/2006/relationships/hyperlink" Target="https://login.consultant.ru/link/?req=doc&amp;demo=2&amp;base=LAW&amp;n=380195&amp;date=26.06.2022" TargetMode="External"/><Relationship Id="rId7" Type="http://schemas.openxmlformats.org/officeDocument/2006/relationships/endnotes" Target="endnotes.xml"/><Relationship Id="rId12" Type="http://schemas.openxmlformats.org/officeDocument/2006/relationships/hyperlink" Target="https://login.consultant.ru/link/?req=doc&amp;demo=2&amp;base=LAW&amp;n=380195&amp;date=26.06.2022" TargetMode="External"/><Relationship Id="rId17" Type="http://schemas.openxmlformats.org/officeDocument/2006/relationships/hyperlink" Target="https://login.consultant.ru/link/?req=doc&amp;demo=2&amp;base=LAW&amp;n=380200&amp;dst=100080&amp;field=134&amp;date=26.06.2022" TargetMode="External"/><Relationship Id="rId2" Type="http://schemas.openxmlformats.org/officeDocument/2006/relationships/numbering" Target="numbering.xml"/><Relationship Id="rId16" Type="http://schemas.openxmlformats.org/officeDocument/2006/relationships/hyperlink" Target="https://login.consultant.ru/link/?req=doc&amp;demo=2&amp;base=LAW&amp;n=380200&amp;dst=100067&amp;field=134&amp;date=26.06.2022" TargetMode="External"/><Relationship Id="rId20" Type="http://schemas.openxmlformats.org/officeDocument/2006/relationships/hyperlink" Target="https://login.consultant.ru/link/?req=doc&amp;demo=2&amp;base=LAW&amp;n=209457&amp;date=26.06.20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demo=2&amp;base=LAW&amp;n=374630&amp;date=26.06.2022"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demo=2&amp;base=LAW&amp;n=380195&amp;date=26.06.2022" TargetMode="External"/><Relationship Id="rId23" Type="http://schemas.openxmlformats.org/officeDocument/2006/relationships/fontTable" Target="fontTable.xml"/><Relationship Id="rId10" Type="http://schemas.openxmlformats.org/officeDocument/2006/relationships/hyperlink" Target="https://login.consultant.ru/link/?req=doc&amp;demo=2&amp;base=LAW&amp;n=202325&amp;dst=100091&amp;field=134&amp;date=26.06.2022" TargetMode="External"/><Relationship Id="rId19" Type="http://schemas.openxmlformats.org/officeDocument/2006/relationships/hyperlink" Target="https://login.consultant.ru/link/?req=doc&amp;demo=2&amp;base=LAW&amp;n=202743&amp;dst=100184&amp;field=134&amp;date=26.06.2022" TargetMode="External"/><Relationship Id="rId4" Type="http://schemas.openxmlformats.org/officeDocument/2006/relationships/settings" Target="settings.xml"/><Relationship Id="rId9" Type="http://schemas.openxmlformats.org/officeDocument/2006/relationships/hyperlink" Target="https://login.consultant.ru/link/?req=doc&amp;demo=2&amp;base=LAW&amp;n=365734&amp;date=26.06.2022" TargetMode="External"/><Relationship Id="rId14" Type="http://schemas.openxmlformats.org/officeDocument/2006/relationships/hyperlink" Target="https://login.consultant.ru/link/?req=doc&amp;demo=2&amp;base=LAW&amp;n=380200&amp;date=26.06.2022" TargetMode="External"/><Relationship Id="rId22" Type="http://schemas.openxmlformats.org/officeDocument/2006/relationships/hyperlink" Target="https://login.consultant.ru/link/?req=doc&amp;demo=2&amp;base=LAW&amp;n=365733&amp;date=26.06.2022"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21089-632F-4C42-A8C4-A1883C0C0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1806</Words>
  <Characters>10299</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12081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Алексей Лаврик</dc:creator>
  <cp:keywords/>
  <dc:description/>
  <cp:lastModifiedBy>Анастасия Мистюрина</cp:lastModifiedBy>
  <cp:revision>2</cp:revision>
  <cp:lastPrinted>2025-02-07T13:37:00Z</cp:lastPrinted>
  <dcterms:created xsi:type="dcterms:W3CDTF">2025-03-05T13:30:00Z</dcterms:created>
  <dcterms:modified xsi:type="dcterms:W3CDTF">2025-03-05T13:30:00Z</dcterms:modified>
</cp:coreProperties>
</file>