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E96" w:rsidRDefault="005F74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44A"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5F744A">
        <w:rPr>
          <w:rFonts w:ascii="Times New Roman" w:hAnsi="Times New Roman" w:cs="Times New Roman"/>
          <w:sz w:val="24"/>
          <w:szCs w:val="24"/>
        </w:rPr>
        <w:pict>
          <v:shape id="_x0000_i0" o:spid="_x0000_i1025" type="#_x0000_t75" style="width:468pt;height:88pt;mso-wrap-distance-left:0;mso-wrap-distance-top:0;mso-wrap-distance-right:0;mso-wrap-distance-bottom:0">
            <v:imagedata r:id="rId9" o:title=""/>
            <v:path textboxrect="0,0,0,0"/>
          </v:shape>
        </w:pict>
      </w:r>
    </w:p>
    <w:p w:rsidR="00E96E96" w:rsidRDefault="00E96E9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96E96" w:rsidRPr="00235780" w:rsidRDefault="00F910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235780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Курс повышения квалификации (специализированный курс)</w:t>
      </w:r>
    </w:p>
    <w:p w:rsidR="00E96E96" w:rsidRPr="00235780" w:rsidRDefault="00F910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235780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«Цифровые технологии и инструменты на финансовых рынках», 84 часа</w:t>
      </w:r>
    </w:p>
    <w:p w:rsidR="00E96E96" w:rsidRDefault="00E96E96" w:rsidP="0023578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6E96" w:rsidRDefault="00F9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рамках образовательного направления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«Цифровые активы, финансовые технологии и информационные системы»</w:t>
      </w:r>
      <w:r w:rsidR="009C2FF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Институт МФЦ приглашает пройти обучение на специализированном курсе повышения квалификации «Цифровые технологии и инструменты на финансовых рынках» продолжительностью 84 академических часов (21 занятие по 4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академических часа)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 период с 27 октября по 10 декабря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2026 года (с 18.30 до 21.45)</w:t>
      </w:r>
    </w:p>
    <w:p w:rsidR="00E96E96" w:rsidRDefault="00E96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E96" w:rsidRDefault="00F9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Курс предназначен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для специалистов различных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сегментов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финансового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рынка, где применяются и развиваются цифровые технологии: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финансовых и инвестиционных платформ, банковских услуг, страхования, платежных услуг, услуг профессиональных небанковских кредиторов, финансовых посредников (брокеров, доверительных управляющих, управляющих компаний), инфраструктурных организаций (регистраторов, депозитариев, специализированных депозитариев, организаторов торговли, операторов информационных систем)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др. Курс также будет полезен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эмитентам и профессиональным инвесторам цифровых финансовых активов.</w:t>
      </w:r>
    </w:p>
    <w:p w:rsidR="00E96E96" w:rsidRDefault="00E96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E96" w:rsidRDefault="00F9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Курс рассчитан на:</w:t>
      </w:r>
    </w:p>
    <w:p w:rsidR="00E96E96" w:rsidRDefault="00F91015">
      <w:pPr>
        <w:pStyle w:val="af1"/>
        <w:numPr>
          <w:ilvl w:val="0"/>
          <w:numId w:val="15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руководителей и специалистов проектов (направлений) в области Финтех, ЦФА, в том числе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Project Manager, Product Manager,</w:t>
      </w:r>
      <w:r w:rsidR="009C2F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Product Marketing Manager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др.;</w:t>
      </w:r>
    </w:p>
    <w:p w:rsidR="00E96E96" w:rsidRDefault="00F91015">
      <w:pPr>
        <w:pStyle w:val="af1"/>
        <w:numPr>
          <w:ilvl w:val="0"/>
          <w:numId w:val="15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аналитиков, включая системных аналитиков, бизнес-аналитиков, продуктовых, маркетинговых аналитиков,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BI</w:t>
      </w:r>
      <w:r>
        <w:rPr>
          <w:rFonts w:ascii="Times New Roman" w:eastAsia="Times New Roman" w:hAnsi="Times New Roman" w:cs="Times New Roman"/>
          <w:sz w:val="24"/>
          <w:szCs w:val="24"/>
        </w:rPr>
        <w:t>-аналитиков и др.;</w:t>
      </w:r>
    </w:p>
    <w:p w:rsidR="00E96E96" w:rsidRDefault="00F91015">
      <w:pPr>
        <w:pStyle w:val="af1"/>
        <w:numPr>
          <w:ilvl w:val="0"/>
          <w:numId w:val="15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aff7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Data Scientist, специалистов по кибербезопасности;</w:t>
      </w:r>
    </w:p>
    <w:p w:rsidR="00E96E96" w:rsidRDefault="00F91015">
      <w:pPr>
        <w:pStyle w:val="af1"/>
        <w:numPr>
          <w:ilvl w:val="0"/>
          <w:numId w:val="15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финансовых аналитиков, юристов, контролеров, комплаенс-менеджеров,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финансовых менеджеров, маркетологов финансовых организаций, реализующих финтех-проекты, а также сотрудников эмитентов ЦФА.</w:t>
      </w:r>
    </w:p>
    <w:p w:rsidR="00E96E96" w:rsidRDefault="00F9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Курс</w:t>
      </w:r>
      <w:r w:rsidR="009C2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 отдельных случаях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может быть полезен</w:t>
      </w:r>
      <w:r w:rsidR="009C2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следующим специалистам финансовых организаций и финтех-компаний (проектов):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специалистам по машинному обучению, инженерам-программистам, разработчикам, продуктовым дизайнерам и нек. др.</w:t>
      </w:r>
    </w:p>
    <w:p w:rsidR="00E96E96" w:rsidRDefault="00E96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6E96" w:rsidRDefault="00F9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Цель обучения: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получить актуальные знания, овладеть умениями и компетенциями в области применения и развития финансовых технологий, цифровых активов на основе передового международного опыта, необходимых для решения конкретных задач по внедрению и развитию финтех-проектов, предоставлению клиентам цифровых услуг, выпуску ЦФА, в том числе в интересах заказчиков — эмитентов ЦФА, участников внешнеэкономической деятельности, заинтересованных в эффективных международных расчетах.</w:t>
      </w:r>
    </w:p>
    <w:p w:rsidR="00E96E96" w:rsidRDefault="00E96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E96" w:rsidRDefault="00F9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Пройдя обучения на курсе, вы сможете: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знать и уметь использовать в практической работе технологические тренды на финансовом рынке и в отдельных его сегментах (в первую очередь, банковском, платежном, страховом, брокерском, биржевом, инвестиционном), связанные с развитие финансовых технологий, цифровых сервисов, выпуском и обращением цифровых активов;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понимать особенности применения (использования) на финансовом рынке больших данных, искусственного интеллекта, технологии распределенных реестров, реализацию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DeFi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децентрализованных финансов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в финансовом секторе;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глубоко разбираться в процессах создания и обращения цифровых валют с учетом их основных разновидностей;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детально овладеть механизмами создания криптовалютных кошельков и осуществления платежей в цифровых валютах с учетом сервисных возможностей, регуляторных особенностей, ограничений и рисков;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знать и уметь использовать механизмы международных расчетов в цифровых валютах;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хорошо ориентироваться в международной инфраструктуре рынка цифровых валют, деятельности криптобирж;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понимать особенности правового регулирования операций с цифровыми валютами, цифровыми финансовыми активами в отдельных юрисдикциях, перспективы дальнейшей легализации операций с ними, развитию соответствующего правового регулирования в России, ответственность за правонарушения в сфере оборота цифровых валют и цифровых финансовых активов;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знать основные процедуры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KYT</w:t>
      </w:r>
      <w:r>
        <w:rPr>
          <w:rFonts w:ascii="Times New Roman" w:eastAsia="Times New Roman" w:hAnsi="Times New Roman" w:cs="Times New Roman"/>
          <w:sz w:val="24"/>
          <w:szCs w:val="24"/>
        </w:rPr>
        <w:t>, ПОД/ФТ/ФРОМУ при работе с цифровыми валютами, цифровыми финансовыми активами;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уметь распознавать недобросовестные практики в сфере цифровых валют, цифровых финансовых активов и знать меры по их пресечению;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знать и уметь применять основные подходы при ончейн-анализе, техническом анализе цифровых валют;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знать и понимать среду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Web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3.0, причины ее формирования, направления развития и перспективы трансформации;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знать особенности «метавселенных» и модели реализации в них банковских, платежных и некоторых других финансовых услуг;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владеть правовыми аспектами построения бизнес-моделей в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Web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3.0;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знать механизмы выпуска и обращения цифровых валют центральных банков, уметь их применять для оптимизации трансграничных расчетов и решения других задач в бизнес-моделях;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знать особенности создания невзаимозаменяемых токенов (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NFT</w:t>
      </w:r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уметь создавать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NFT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различные активы и применять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NFT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финансовой среде;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уметь моделировать выпуск цифровых финансовых активов (ЦФА), использовать ЦФА и утилитарные цифровые права;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уметь разрабатывать планы, осуществлять действия по токенизации реального бизнеса, денежных потоков в целях повышения ликвидности;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знать особенности производные токенизированных инструментов и уметь их применять;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знать российское законодательство и международные тренды в сфере регулирования цифровых активов и цифровых валют;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знать структуру и инфраструктуру рынка ЦФА, уметь ее использовать для решения бизнес-задач, связанных с выпуском, обращением ЦФА и (или) инвестированием в ЦФА;</w:t>
      </w:r>
    </w:p>
    <w:p w:rsidR="00E96E96" w:rsidRDefault="00F91015">
      <w:pPr>
        <w:pStyle w:val="af1"/>
        <w:numPr>
          <w:ilvl w:val="0"/>
          <w:numId w:val="16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знать основные риски, характерные для цифровой финансовой среды, и уметь предпринимать меры по их снижению.</w:t>
      </w:r>
    </w:p>
    <w:p w:rsidR="00E96E96" w:rsidRDefault="00E96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6E96" w:rsidRDefault="00F9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Особенности и преимущества курса:</w:t>
      </w:r>
    </w:p>
    <w:p w:rsidR="00E96E96" w:rsidRDefault="00F91015">
      <w:pPr>
        <w:pStyle w:val="af1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звездный состав преподавателей (включая известнейших специалистов из сферы цифровых финансов): около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15 высококвалифицированных преподавателей,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каждый из которых ведет занятия именно по темам, непосредственно связанным с практической и (или) экспертной деятельностью такого преподавателя;</w:t>
      </w:r>
    </w:p>
    <w:p w:rsidR="00E96E96" w:rsidRDefault="00F91015">
      <w:pPr>
        <w:pStyle w:val="af1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участие в команде преподавателей известных гуру в области финансовых технологий, достигших значительных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успехов в реализации финтех-проектов;</w:t>
      </w:r>
    </w:p>
    <w:p w:rsidR="00E96E96" w:rsidRDefault="00F91015">
      <w:pPr>
        <w:pStyle w:val="af1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участие в курсе каждого преподавателя подчинено творческому и методическому единству, которое обеспечивает руководитель программы — известный специалист в сфере цифровой экономики и цифрового права;</w:t>
      </w:r>
    </w:p>
    <w:p w:rsidR="00E96E96" w:rsidRDefault="00F91015">
      <w:pPr>
        <w:pStyle w:val="af1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практико-ориентированная направленность курса обеспечивается рядом практических работ для слушателей: от создания криптовалютного кошелька и проведения платежей до создания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NFT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 моделирования выпуска ЦФА;</w:t>
      </w:r>
    </w:p>
    <w:p w:rsidR="00E96E96" w:rsidRDefault="00F91015">
      <w:pPr>
        <w:pStyle w:val="af1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идеи и тематика курса опираются на широкий международный опыт и достижения отдельных стран, являющихся лидерами в развитии финансовых технологий;</w:t>
      </w:r>
    </w:p>
    <w:p w:rsidR="00E96E96" w:rsidRDefault="00F91015">
      <w:pPr>
        <w:pStyle w:val="af1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тематическое содержание курса и изложение учебного материала не ограничиваются установленными на сегодня рамками законодательства Российской Федерации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 сфере цифровых валют и цифровых финансовых активов, и, безусловно, учитывая их, направлены на формирование стратегического мышления и подходов к анализу и учету лучших международных практик, влияющих на развитие отечественного законодательства в этой сфере;</w:t>
      </w:r>
    </w:p>
    <w:p w:rsidR="00E96E96" w:rsidRDefault="00F91015">
      <w:pPr>
        <w:pStyle w:val="af1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насыщенный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массив практических современных примеров: бизнес-решения, технологии, различные цифровые валюты, цифровые финансовые активы, критобиржи, метавселенные, сравнение юрисдикций и мн. др.;</w:t>
      </w:r>
    </w:p>
    <w:p w:rsidR="00E96E96" w:rsidRDefault="00F91015">
      <w:pPr>
        <w:pStyle w:val="af1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использование актуальной и достоверной терминологии как на русском, так и на английском языке;</w:t>
      </w:r>
    </w:p>
    <w:p w:rsidR="00E96E96" w:rsidRDefault="00F91015">
      <w:pPr>
        <w:pStyle w:val="af1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«живое» обучение (не запись занятий!), обеспечивающее наиболее продуктивное взаимодействие между преподавателями и обучающимися;</w:t>
      </w:r>
    </w:p>
    <w:p w:rsidR="00E96E96" w:rsidRDefault="00F91015">
      <w:pPr>
        <w:pStyle w:val="af1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размещение учебных материалов в личных кабинетах слушателей, где сохраняются записи проведенных в рамках курса занятий дл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>я повторных просмотров в течение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всего срока обучения.</w:t>
      </w:r>
    </w:p>
    <w:p w:rsidR="00E96E96" w:rsidRDefault="00E96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6E96" w:rsidRDefault="00F9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Преподаватели:</w:t>
      </w:r>
    </w:p>
    <w:p w:rsidR="00E96E96" w:rsidRDefault="00F9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Болобонова Мария Олеговна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— руководитель программы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адвокат, советник президента НАУФОР, член Экспертного совета Государственной Думы Федерального Собрания Российской Федерации по законодательному регулированию криптовалют, эксперт Центра компетенций Сколково по нормативному регулированию цифровой экономики, с опытом преподавания аналогичных дисциплин, тем служащим Банка России.</w:t>
      </w:r>
    </w:p>
    <w:p w:rsidR="00E96E96" w:rsidRDefault="00F9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Акулинкин Станислав Сергеевич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— </w:t>
      </w:r>
      <w:r>
        <w:rPr>
          <w:rFonts w:ascii="Times New Roman" w:eastAsia="Times New Roman" w:hAnsi="Times New Roman" w:cs="Times New Roman"/>
          <w:sz w:val="24"/>
          <w:szCs w:val="24"/>
        </w:rPr>
        <w:t>канд. экон. наук,</w:t>
      </w:r>
      <w:r w:rsidR="009C2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доц. кафедры «Финансовые технологии» Финансового университета при Правительстве Российской Федерации, член рабочей группы по трансграничным расчетам в криптовалютах </w:t>
      </w:r>
      <w:r>
        <w:rPr>
          <w:rFonts w:ascii="Times New Roman" w:hAnsi="Times New Roman" w:cs="Times New Roman"/>
          <w:sz w:val="24"/>
          <w:szCs w:val="24"/>
        </w:rPr>
        <w:t>ICC Russia. Руководил, участвовал в подготовке к выходу на финансовый рынок инновационных продуктов в сфере цифровых финансов.</w:t>
      </w:r>
    </w:p>
    <w:p w:rsidR="00E96E96" w:rsidRDefault="00F9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Алексеенко Александр Петрович</w:t>
      </w:r>
      <w:r>
        <w:rPr>
          <w:rFonts w:ascii="Times New Roman" w:hAnsi="Times New Roman" w:cs="Times New Roman"/>
          <w:sz w:val="24"/>
          <w:szCs w:val="24"/>
        </w:rPr>
        <w:t xml:space="preserve"> — канд. юрид. наук, доцент кафедры коммерческого права СПбГУ, автор статей и книг по коммерческому праву России и КНР, преподавательская деятельность в Сычуаньском университете, Шанхайском Университете Политических Наук и Права, Пекинском технологическом университете и др.</w:t>
      </w:r>
    </w:p>
    <w:p w:rsidR="00E96E96" w:rsidRDefault="00F9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Бахтеев Дмитрий Валерьевич</w:t>
      </w:r>
      <w:r>
        <w:rPr>
          <w:rFonts w:ascii="Times New Roman" w:hAnsi="Times New Roman" w:cs="Times New Roman"/>
          <w:sz w:val="24"/>
          <w:szCs w:val="24"/>
        </w:rPr>
        <w:t xml:space="preserve"> —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д-р юрид. наук</w:t>
      </w:r>
      <w:r>
        <w:rPr>
          <w:rFonts w:ascii="Times New Roman" w:hAnsi="Times New Roman" w:cs="Times New Roman"/>
          <w:sz w:val="24"/>
          <w:szCs w:val="24"/>
        </w:rPr>
        <w:t>, доцент кафедры криминалистики УрГЮУ имени В.Ф.Яковлева, руководитель группы проектов CrimLib, специалист в области теории машинного обучения, цифровой криминалистики.</w:t>
      </w:r>
    </w:p>
    <w:p w:rsidR="00E96E96" w:rsidRDefault="00F9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Белекпен Андрей Игоревич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преподаватель по практическому применению технологий блокчейн, цифровых финансовых активов, цифровых валют. Имеет многолетний опыт в криптоиндустрии. Работал в таких компаниях как Freedom Finance и Huobi Global. Преподавал аналогичные дисциплины, темы служащим Банка России.</w:t>
      </w:r>
    </w:p>
    <w:p w:rsidR="00E96E96" w:rsidRDefault="00F91015">
      <w:pPr>
        <w:pStyle w:val="aff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Варнавский Андрей Владимирович</w:t>
      </w:r>
      <w:r>
        <w:rPr>
          <w:rFonts w:ascii="Times New Roman" w:hAnsi="Times New Roman" w:cs="Times New Roman"/>
          <w:b/>
          <w:sz w:val="24"/>
          <w:szCs w:val="24"/>
        </w:rPr>
        <w:t xml:space="preserve"> — </w:t>
      </w:r>
      <w:r>
        <w:rPr>
          <w:rFonts w:ascii="Times New Roman" w:hAnsi="Times New Roman" w:cs="Times New Roman"/>
          <w:sz w:val="24"/>
          <w:szCs w:val="24"/>
        </w:rPr>
        <w:t>канд. экон. наук, руководитель Центра Финансовых технологий СПАО «Ингосстрах, руководил блокчейн-платформой СПАО «Ингосстрах».</w:t>
      </w:r>
    </w:p>
    <w:p w:rsidR="00E96E96" w:rsidRDefault="00F91015">
      <w:pPr>
        <w:pStyle w:val="aff5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Котилевец Игорь Денисович</w:t>
      </w:r>
      <w:r>
        <w:rPr>
          <w:rFonts w:ascii="Times New Roman" w:hAnsi="Times New Roman" w:cs="Times New Roman"/>
          <w:sz w:val="24"/>
          <w:szCs w:val="24"/>
        </w:rPr>
        <w:t xml:space="preserve"> — старший преподаватель кафедры «Цифровые технологии обработки данных»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РТУ МИРЭА, автор статей, обладатель патентов в области технологий распределенного реестра и Интернета вещей.</w:t>
      </w:r>
    </w:p>
    <w:p w:rsidR="00E96E96" w:rsidRDefault="00F91015">
      <w:pPr>
        <w:pStyle w:val="aff5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Кучеров Илья Ильич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д-р юрид. наук, профессор, заместитель директора Института законодательства и сравнительного правоведения при Правительстве Российской Федерации, заслуженный юрист Российской Федерации.</w:t>
      </w:r>
    </w:p>
    <w:p w:rsidR="00E96E96" w:rsidRDefault="00F9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Лачихин Константин Александрович</w:t>
      </w:r>
      <w:r>
        <w:rPr>
          <w:rFonts w:ascii="Times New Roman" w:hAnsi="Times New Roman" w:cs="Times New Roman"/>
          <w:sz w:val="24"/>
          <w:szCs w:val="24"/>
        </w:rPr>
        <w:t xml:space="preserve"> — бизнес-консультант по внедрению блокчейн-технологий, платежных решений, майнинга, DeFi и Web3.0, автор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образовательных программ по крипторынку.</w:t>
      </w:r>
    </w:p>
    <w:p w:rsidR="00E96E96" w:rsidRDefault="00F91015">
      <w:pPr>
        <w:pStyle w:val="aff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Мачихин Дмитрий Сергеевич</w:t>
      </w:r>
      <w:r>
        <w:rPr>
          <w:rFonts w:ascii="Times New Roman" w:hAnsi="Times New Roman" w:cs="Times New Roman"/>
          <w:sz w:val="24"/>
          <w:szCs w:val="24"/>
        </w:rPr>
        <w:t xml:space="preserve"> — признанный эксперт в блокчейн-индустрии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опытом более 10 лет, автор многочисленных статей и комментариев в СМИ, постоянный спикер международных конференций по криптоэкономике, инвестициям и </w:t>
      </w:r>
      <w:r>
        <w:rPr>
          <w:rFonts w:ascii="Times New Roman" w:hAnsi="Times New Roman" w:cs="Times New Roman"/>
          <w:sz w:val="24"/>
          <w:szCs w:val="24"/>
          <w:lang w:val="en-US"/>
        </w:rPr>
        <w:t>Fintech</w:t>
      </w:r>
      <w:r>
        <w:rPr>
          <w:rFonts w:ascii="Times New Roman" w:hAnsi="Times New Roman" w:cs="Times New Roman"/>
          <w:sz w:val="24"/>
          <w:szCs w:val="24"/>
        </w:rPr>
        <w:t>, топ-40 перспективных блокчейн-предпринимателей (</w:t>
      </w:r>
      <w:r>
        <w:rPr>
          <w:rFonts w:ascii="Times New Roman" w:hAnsi="Times New Roman" w:cs="Times New Roman"/>
          <w:sz w:val="24"/>
          <w:szCs w:val="24"/>
          <w:lang w:val="en-US"/>
        </w:rPr>
        <w:t>Forbes</w:t>
      </w:r>
      <w:r>
        <w:rPr>
          <w:rFonts w:ascii="Times New Roman" w:hAnsi="Times New Roman" w:cs="Times New Roman"/>
          <w:sz w:val="24"/>
          <w:szCs w:val="24"/>
        </w:rPr>
        <w:t xml:space="preserve">, 2022), топ-5 </w:t>
      </w:r>
      <w:r>
        <w:rPr>
          <w:rFonts w:ascii="Times New Roman" w:hAnsi="Times New Roman" w:cs="Times New Roman"/>
          <w:sz w:val="24"/>
          <w:szCs w:val="24"/>
          <w:lang w:val="en-US"/>
        </w:rPr>
        <w:t>Web</w:t>
      </w:r>
      <w:r>
        <w:rPr>
          <w:rFonts w:ascii="Times New Roman" w:hAnsi="Times New Roman" w:cs="Times New Roman"/>
          <w:sz w:val="24"/>
          <w:szCs w:val="24"/>
        </w:rPr>
        <w:t>3-предпринимателей (</w:t>
      </w:r>
      <w:r>
        <w:rPr>
          <w:rFonts w:ascii="Times New Roman" w:hAnsi="Times New Roman" w:cs="Times New Roman"/>
          <w:sz w:val="24"/>
          <w:szCs w:val="24"/>
          <w:lang w:val="en-US"/>
        </w:rPr>
        <w:t>TechBullion</w:t>
      </w:r>
      <w:r>
        <w:rPr>
          <w:rFonts w:ascii="Times New Roman" w:hAnsi="Times New Roman" w:cs="Times New Roman"/>
          <w:sz w:val="24"/>
          <w:szCs w:val="24"/>
        </w:rPr>
        <w:t xml:space="preserve">, 2023), основатель сервиса </w:t>
      </w:r>
      <w:r>
        <w:rPr>
          <w:rFonts w:ascii="Times New Roman" w:hAnsi="Times New Roman" w:cs="Times New Roman"/>
          <w:sz w:val="24"/>
          <w:szCs w:val="24"/>
          <w:lang w:val="en-US"/>
        </w:rPr>
        <w:t>BitOK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96E96" w:rsidRDefault="00F91015">
      <w:pPr>
        <w:pStyle w:val="aff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Осипов Григорий Павлович</w:t>
      </w:r>
      <w:r>
        <w:rPr>
          <w:rFonts w:ascii="Times New Roman" w:hAnsi="Times New Roman" w:cs="Times New Roman"/>
          <w:sz w:val="24"/>
          <w:szCs w:val="24"/>
        </w:rPr>
        <w:t xml:space="preserve"> — директор по расследованиям платформы безопасности цифровых активов АО «ШАРД». Специалист в области экономической безопасности с опытом работы в органах ФСБ России.</w:t>
      </w:r>
    </w:p>
    <w:p w:rsidR="00E96E96" w:rsidRDefault="00F91015">
      <w:pPr>
        <w:pStyle w:val="aff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Плахов Дмитрий Николаевич</w:t>
      </w:r>
      <w:r>
        <w:rPr>
          <w:rFonts w:ascii="Times New Roman" w:hAnsi="Times New Roman" w:cs="Times New Roman"/>
          <w:sz w:val="24"/>
          <w:szCs w:val="24"/>
        </w:rPr>
        <w:t xml:space="preserve"> — видный эксперт, преподаватель и популяризатор в сфере блокчейн. Координатор сообщества блокчейн-разрабочиков Санкт-Петербурга. Являлся руководителем разработки АО «СберТех», главным инженером-разработчиком Лаборатории блокчейн ПАО Сбербанк, экспертом иссл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едовательского центра по технологии блокчейн при Университете Иннополис, в качестве руководителя экспертной группы Банка России участвовал в реализации мероприятий дорожной карты по созданию и выходу на рынок платформы цифрового рубля.</w:t>
      </w:r>
    </w:p>
    <w:p w:rsidR="00E96E96" w:rsidRDefault="00F9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Тараканов Александр Александрович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PhD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доцент Факультета компьютерных наук Департамента больших данных и информационного поиска НИУ ВШЭ. Занимается профессиональными исследованиями в области прикладной математики, машинного обучения, статистики. Работал ведущим инженером в лаборатории искусственного интеллекта Российского Исследовательского Института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Huawei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96E96" w:rsidRDefault="00E96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6E96" w:rsidRDefault="00F9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Программа курса состоит из шести модулей</w:t>
      </w:r>
      <w:r>
        <w:rPr>
          <w:rFonts w:ascii="Times New Roman" w:eastAsia="Times New Roman" w:hAnsi="Times New Roman" w:cs="Times New Roman"/>
          <w:sz w:val="24"/>
          <w:szCs w:val="24"/>
        </w:rPr>
        <w:t>, освоение которых сформирует целостную картину, понимание особенностей, перспектив развития и применения современных цифровых технологий, цифровых инструментов на финансовом рынке, позволит выполнять ряд профессиональных задач в сферах Финтех и ЦФА.</w:t>
      </w:r>
    </w:p>
    <w:p w:rsidR="00E96E96" w:rsidRDefault="00E96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6E96" w:rsidRDefault="00F91015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Учебно-тематический план</w:t>
      </w: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Открытие курса. Вступительное слово руководителя образовательной программы, куратора курса.</w:t>
      </w:r>
    </w:p>
    <w:p w:rsidR="00E96E96" w:rsidRDefault="00E96E9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96E96" w:rsidRDefault="00F910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Модуль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Цифровизация и применение на финансовых рынках больших данных, решений с искусственным интеллектом, технологии распределенного реестра.</w:t>
      </w:r>
      <w:r w:rsidR="009C2F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18 часов</w:t>
      </w:r>
    </w:p>
    <w:p w:rsidR="00E96E96" w:rsidRDefault="00F910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Тема 1. Общество знаний, право и экономика данных.</w:t>
      </w:r>
      <w:r w:rsidR="009C2F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1 час</w:t>
      </w:r>
    </w:p>
    <w:p w:rsidR="00E96E96" w:rsidRDefault="00F910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Предпосылки цифровизации экономики. Переход от цифровой экономики к экономике данных. Аналитика отрасли, уровень оценки цифровизации экономики и ее финансового сектора. Институциональные, технологические основы экономики данных.</w:t>
      </w:r>
    </w:p>
    <w:p w:rsidR="00E96E96" w:rsidRDefault="00E96E9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96E96" w:rsidRDefault="00F910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Тема 2. Технологические тренды на финансовых рынках.</w:t>
      </w:r>
      <w:r w:rsidR="009C2F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 часа</w:t>
      </w: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Концептуальные положения цифровизации финансового рынка. Экосистема финтех-индустрии.</w:t>
      </w: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Ключевые направления и тренды:</w:t>
      </w:r>
    </w:p>
    <w:p w:rsidR="00E96E96" w:rsidRDefault="00F91015">
      <w:pPr>
        <w:pStyle w:val="af1"/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большие данные;</w:t>
      </w:r>
    </w:p>
    <w:p w:rsidR="00E96E96" w:rsidRDefault="00F91015">
      <w:pPr>
        <w:pStyle w:val="af1"/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искусственный интеллект;</w:t>
      </w:r>
    </w:p>
    <w:p w:rsidR="00E96E96" w:rsidRDefault="00F91015">
      <w:pPr>
        <w:pStyle w:val="af1"/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распределенные реестры;</w:t>
      </w:r>
    </w:p>
    <w:p w:rsidR="00E96E96" w:rsidRDefault="00F91015">
      <w:pPr>
        <w:pStyle w:val="af1"/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облачные технологии на финансовых рынках, публичные или частные облака;</w:t>
      </w:r>
    </w:p>
    <w:p w:rsidR="00E96E96" w:rsidRDefault="00F91015">
      <w:pPr>
        <w:pStyle w:val="af1"/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открытые интерфейсы на финансовых рынках, API и платформы;</w:t>
      </w:r>
    </w:p>
    <w:p w:rsidR="00E96E96" w:rsidRDefault="00F91015">
      <w:pPr>
        <w:pStyle w:val="af1"/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платежи будущего, системы быстрых платежей;</w:t>
      </w:r>
    </w:p>
    <w:p w:rsidR="00E96E96" w:rsidRDefault="00F91015">
      <w:pPr>
        <w:pStyle w:val="af1"/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биометрические технологии на финансовых рынках;</w:t>
      </w:r>
    </w:p>
    <w:p w:rsidR="00E96E96" w:rsidRDefault="00F91015">
      <w:pPr>
        <w:pStyle w:val="af1"/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pen banking;</w:t>
      </w:r>
    </w:p>
    <w:p w:rsidR="00E96E96" w:rsidRDefault="00F91015">
      <w:pPr>
        <w:pStyle w:val="af1"/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цифровой профиль;</w:t>
      </w:r>
    </w:p>
    <w:p w:rsidR="00E96E96" w:rsidRDefault="00F91015">
      <w:pPr>
        <w:pStyle w:val="af1"/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регуляторные и надзорные технологии (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egtech и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uptech);</w:t>
      </w:r>
    </w:p>
    <w:p w:rsidR="00E96E96" w:rsidRDefault="00F91015">
      <w:pPr>
        <w:pStyle w:val="af1"/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квантовые технологии на финансовых рынках.</w:t>
      </w:r>
    </w:p>
    <w:p w:rsidR="00E96E96" w:rsidRDefault="00E96E9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96E96" w:rsidRDefault="00F910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Тема 3. Большие данные на финансовых рынках.</w:t>
      </w:r>
      <w:r w:rsidR="009C2F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3 часа</w:t>
      </w: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Понятие больших данных, сферы применения. Экосистемы и моносервисы: проблемы использования больших данных. Правовой режим данных. Неправомерное использование больших данных. Защита персональных данных.</w:t>
      </w:r>
    </w:p>
    <w:p w:rsidR="00E96E96" w:rsidRDefault="00E96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 4. Искусственный интеллект (ИИ) на финансовых рынках.</w:t>
      </w:r>
      <w:r w:rsidR="009C2F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4 часа</w:t>
      </w: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Основы ИИ на финансовых рынках, области применения, тренды. Машинное обучение. Нейросетевые технологии на финансовых рынках. Большие языковые модели (LLM). Трансформация бизнес-моделей, вызовы и возможности ИИ. ИИ как «участник» финансовых рынков. Международный опыт. Правовые аспекты ИИ. Этика ИИ.</w:t>
      </w:r>
    </w:p>
    <w:p w:rsidR="00E96E96" w:rsidRDefault="00E96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 5. Технология распределенных реестров на финансовых рынках.</w:t>
      </w:r>
      <w:r w:rsidR="009C2F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8 часов</w:t>
      </w:r>
    </w:p>
    <w:p w:rsidR="00E96E96" w:rsidRDefault="00F910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5.1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Технологические основы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DLT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 Криптография.</w:t>
      </w: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Механизмы транзакций в блокчейне (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mining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staking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minting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). Механизмы и причины раздвоения сети (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fork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forking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softfork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hardfork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протокол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Segregated</w:t>
      </w:r>
      <w:r w:rsidR="009C2FF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Witness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). Архитектура блокчейна и приложения второго уровня. Принципы: распределённость, децентрализация, одноранговость, масштабируемость. Частный/публичный/закрытый/открытый блокчейн. DApp/DAO. Классификация и алгоритмы (протоколы) консенсуса (PoW, PoS, Multisignature Algorithm/Byzantine Fault Tolerance). Смарт-контракты, оракулы, механизм самоисполнения. Основные проблемы современных блокчейнов: масштабируемость, совместимость стандартов; скорость обработки транзакций и нек. др., способы их решения.</w:t>
      </w:r>
    </w:p>
    <w:p w:rsidR="00E96E96" w:rsidRDefault="00F910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5.2 Практика применения.</w:t>
      </w: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Корпоративный рынок распределенных реестров. Блокчейн в государственном секторе.</w:t>
      </w: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Применение в финансовом секторе:</w:t>
      </w:r>
    </w:p>
    <w:p w:rsidR="00E96E96" w:rsidRDefault="00F91015">
      <w:pPr>
        <w:pStyle w:val="af1"/>
        <w:numPr>
          <w:ilvl w:val="0"/>
          <w:numId w:val="19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принципы работы и области применения наиболее распространённых блокчейн экосистем на примере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Hyperledger</w:t>
      </w:r>
      <w:r w:rsidR="009C2FF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Fabric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Corda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E96E96" w:rsidRDefault="00F91015">
      <w:pPr>
        <w:pStyle w:val="af1"/>
        <w:numPr>
          <w:ilvl w:val="0"/>
          <w:numId w:val="19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Masterchain (принципы построения блокчейн, сервисы Masterchain, система учёта закладных, реестр банковских гарантий, цифровые аккредитивы, KYC);</w:t>
      </w:r>
    </w:p>
    <w:p w:rsidR="00E96E96" w:rsidRDefault="00F91015">
      <w:pPr>
        <w:pStyle w:val="af1"/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Fi.</w:t>
      </w:r>
    </w:p>
    <w:p w:rsidR="00E96E96" w:rsidRDefault="00E96E9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96E96" w:rsidRDefault="00F910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Модуль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Децентрализованные финансы. Токенизация активов.</w:t>
      </w:r>
      <w:r w:rsidR="009C2F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14 часов</w:t>
      </w:r>
    </w:p>
    <w:p w:rsidR="00E96E96" w:rsidRDefault="00E96E9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96E96" w:rsidRDefault="00F910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Тема 1. Децентрализованные финансы.</w:t>
      </w:r>
      <w:r w:rsidR="009C2F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6 часов</w:t>
      </w:r>
    </w:p>
    <w:p w:rsidR="00E96E96" w:rsidRDefault="00F910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1.1 Практическая реализация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 в финансовом секторе.</w:t>
      </w:r>
    </w:p>
    <w:p w:rsidR="00E96E96" w:rsidRDefault="00F910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Элементы экосистемы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DeFi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Функционирование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DeFi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 Возможности для финансового рынка.</w:t>
      </w:r>
    </w:p>
    <w:p w:rsidR="00E96E96" w:rsidRDefault="00F910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Принципы функционирования различных протоколов:</w:t>
      </w:r>
    </w:p>
    <w:p w:rsidR="00E96E96" w:rsidRDefault="00F91015">
      <w:pPr>
        <w:pStyle w:val="af1"/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DeFi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-кредитование;</w:t>
      </w:r>
    </w:p>
    <w:p w:rsidR="00E96E96" w:rsidRDefault="00F91015">
      <w:pPr>
        <w:pStyle w:val="af1"/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токены (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aETH, sETH и др.);</w:t>
      </w:r>
    </w:p>
    <w:p w:rsidR="00E96E96" w:rsidRDefault="00F91015">
      <w:pPr>
        <w:pStyle w:val="af1"/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LSD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-протоколы;</w:t>
      </w:r>
    </w:p>
    <w:p w:rsidR="00E96E96" w:rsidRDefault="00F91015">
      <w:pPr>
        <w:pStyle w:val="af1"/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DeFi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-страхование.</w:t>
      </w: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Процесс выпуска децентрализованных стейблкойнов (на примере MakerDAO — процесс выпуска и погашения DAI, зачем нужны токены MKR и др.).</w:t>
      </w:r>
    </w:p>
    <w:p w:rsidR="00E96E96" w:rsidRDefault="00F910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1.2 Секьюритизация (токенизация денежных потоков) как инструмент повышения ликвидности.</w:t>
      </w: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Liquid staking derivatives (LSD). Liquid staking providers. Lido DAO; RocketPool; Frax Finance. </w:t>
      </w:r>
      <w:r>
        <w:rPr>
          <w:rFonts w:ascii="Times New Roman" w:eastAsia="Times New Roman" w:hAnsi="Times New Roman" w:cs="Times New Roman"/>
          <w:sz w:val="24"/>
          <w:szCs w:val="24"/>
        </w:rPr>
        <w:t>FFS, ABS, MBS.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Производные токенизированные инструменты. Опционы и поставочные фьючерсы в токенизации.</w:t>
      </w: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1.3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Правовое регулирование D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Fi.</w:t>
      </w: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Международные подходы. Развитие регулирования.</w:t>
      </w:r>
    </w:p>
    <w:p w:rsidR="00E96E96" w:rsidRDefault="00E96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 2. Токенизация активов.</w:t>
      </w:r>
      <w:r w:rsidR="0041515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5 часов</w:t>
      </w:r>
    </w:p>
    <w:p w:rsidR="00E96E96" w:rsidRDefault="00F91015">
      <w:pPr>
        <w:pStyle w:val="af1"/>
        <w:shd w:val="clear" w:color="auto" w:fill="FFFFFF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Инфраструктура рынка цифровых активов.</w:t>
      </w:r>
    </w:p>
    <w:p w:rsidR="00E96E96" w:rsidRDefault="00F91015">
      <w:pPr>
        <w:pStyle w:val="af1"/>
        <w:shd w:val="clear" w:color="auto" w:fill="FFFFFF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Механизм создания токена и порядок присвоения токена к активу.</w:t>
      </w:r>
    </w:p>
    <w:p w:rsidR="00E96E96" w:rsidRDefault="00F91015">
      <w:pPr>
        <w:pStyle w:val="af1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Практические аспекты выпуска и оборота ЦФА, утилитарных цифровых прав (УЦП).</w:t>
      </w:r>
    </w:p>
    <w:p w:rsidR="00E96E96" w:rsidRDefault="00F910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Токенизированные деньги, финансовые инструменты (облигации, депозиты), цифровые свидетельства и цифровые векселя.</w:t>
      </w:r>
    </w:p>
    <w:p w:rsidR="00E96E96" w:rsidRDefault="00F910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Проектное финансирование.</w:t>
      </w:r>
    </w:p>
    <w:p w:rsidR="00E96E96" w:rsidRDefault="00F910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Правовой режим цифровых активов.</w:t>
      </w:r>
    </w:p>
    <w:p w:rsidR="00E96E96" w:rsidRDefault="00F910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Международные практики оборота цифровых активов (Китай, отдельные страны СНГ, ЕС).</w:t>
      </w:r>
    </w:p>
    <w:p w:rsidR="00E96E96" w:rsidRDefault="00F910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Практикум по использованию ЦФА и утилитарных цифровых прав.</w:t>
      </w:r>
    </w:p>
    <w:p w:rsidR="00E96E96" w:rsidRDefault="00E96E9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 3. Невзаимозаменяемые токены (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NFT</w:t>
      </w:r>
      <w:r>
        <w:rPr>
          <w:rFonts w:ascii="Times New Roman" w:hAnsi="Times New Roman" w:cs="Times New Roman"/>
          <w:b/>
          <w:bCs/>
          <w:sz w:val="24"/>
          <w:szCs w:val="24"/>
        </w:rPr>
        <w:t>).</w:t>
      </w:r>
      <w:r w:rsidR="004151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>3 часа</w:t>
      </w:r>
    </w:p>
    <w:p w:rsidR="00E96E96" w:rsidRDefault="00F9101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Особенности создания невзаимозаменяемых токенов (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NFT</w:t>
      </w:r>
      <w:r>
        <w:rPr>
          <w:rFonts w:ascii="Times New Roman" w:hAnsi="Times New Roman" w:cs="Times New Roman"/>
          <w:bCs/>
          <w:sz w:val="24"/>
          <w:szCs w:val="24"/>
        </w:rPr>
        <w:t>).</w:t>
      </w:r>
    </w:p>
    <w:p w:rsidR="00E96E96" w:rsidRDefault="00F91015">
      <w:pPr>
        <w:spacing w:after="0"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Особенности применения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NFT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финансовой сфере.</w:t>
      </w:r>
    </w:p>
    <w:p w:rsidR="00E96E96" w:rsidRDefault="00F91015">
      <w:pPr>
        <w:spacing w:after="0"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Практикум по созданию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NFT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любой актив.</w:t>
      </w:r>
    </w:p>
    <w:p w:rsidR="00E96E96" w:rsidRDefault="00E96E96">
      <w:pPr>
        <w:spacing w:after="0"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Модуль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 Криптовалюты.</w:t>
      </w:r>
      <w:r w:rsidR="0041515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12 часов</w:t>
      </w:r>
    </w:p>
    <w:p w:rsidR="00E96E96" w:rsidRDefault="00E96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E96" w:rsidRDefault="00F91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1. Механизм создания и функционирования цифровой валюты. Особенности создания и функционирования стейблкоинов.</w:t>
      </w:r>
      <w:r w:rsidR="0041515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1 час</w:t>
      </w:r>
    </w:p>
    <w:p w:rsidR="00E96E96" w:rsidRDefault="00E96E96">
      <w:pPr>
        <w:spacing w:after="0" w:line="240" w:lineRule="atLeast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Тема 2. Практика по созданию криптовалютного кошелька. </w:t>
      </w:r>
      <w:r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2 часа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Криптовалютный кошелек, определение и общее понятия Устройство криптовалютного кошелька. Открытый ключ, закрытый ключ, сид-фраза.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Типы кошельков: холодный, горячий, кастодиальный и некастодиальный, их отличия и особенности Многофункциональный, мультивалютный, мультиблокчейновый веб3-кошелек для веб3-среды — вершина эволюции или промежуточный этап?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Создание криптовалютного веб3-кошелька, правила безопасности, хранение и восстановления веб3-кошелька.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Практическая часть (работа с аудиторией): открытие собственного мультивалютного некастодиального веб3-кошелька.</w:t>
      </w:r>
    </w:p>
    <w:p w:rsidR="00E96E96" w:rsidRDefault="00F91015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Обзор возможностей веб3 кошелька — обмен криптовалюты и токенов, работа в разных блокченах, децентрализованные финансы (DeFi) — кредитные, обменные, доходные протоколы dApp (децентрализованные мобильные приложения), работа с биржей (CEX), игровыми сервисами, хранение и работа с NFT и NFT-маркетплейсами, взаимодействие с метавселенными, иными вспомогательными инструментами в веб3-среде.</w:t>
      </w:r>
    </w:p>
    <w:p w:rsidR="00E96E96" w:rsidRDefault="00E96E96">
      <w:pPr>
        <w:spacing w:after="0" w:line="240" w:lineRule="atLeast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Тема 3. Практика осуществления платежей в цифровых валютах. </w:t>
      </w:r>
      <w:r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2 часа</w:t>
      </w: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Осуществление пилотных платежей в цифровых валютах — открытие и установка криптовалютного кошелька на бирже (CEX), верификация аккаунта — открытие мультивалютного некастодиального веб3-кошелька — приобретение криптовалюты на бирже, p2p обмен, покупка в обменном сервисе (обменнике, боте), обмен на наличные с зачислением криптовалюты на криптовалютный кошелёк покупателя — транзакционная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деятельность, обмены, перевод криптовалюты и токенов в разных блокчейнах, использование функциональных особенностей и преимуществ веб3-кошельков для транзакционной деятельности — практические часть и технологические нюансы децентрализованных веб3-инструментов, работа с вспомогательными веб3-сервисами (обозреватели блокчейнов, проверка контрактов токенов) — взаимодействие централизованных бирж (CEX) с веб3-средой и, в частности, с веб3-кошельками — безопасность, риски, распространённые ошибки, примеры.</w:t>
      </w:r>
    </w:p>
    <w:p w:rsidR="00E96E96" w:rsidRDefault="00E96E96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6E96" w:rsidRDefault="00F9101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4. Механизмы осуществления международных расчетов в цифровых валютах.</w:t>
      </w:r>
      <w:r w:rsidR="0041515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1 час</w:t>
      </w:r>
    </w:p>
    <w:p w:rsidR="00E96E96" w:rsidRDefault="00E96E96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6E96" w:rsidRDefault="00F9101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5. Технологии осуществления механизмов ПОД/ФТ/ФРОМУ в сделках с цифровыми валютами.</w:t>
      </w:r>
      <w:r w:rsidR="0041515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1 час</w:t>
      </w:r>
    </w:p>
    <w:p w:rsidR="00E96E96" w:rsidRDefault="00E96E96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6E96" w:rsidRDefault="00F9101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6. Механизмы анонимизации сделок с цифровыми валютами (миксеры).</w:t>
      </w:r>
      <w:r w:rsidR="0041515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1 час</w:t>
      </w:r>
    </w:p>
    <w:p w:rsidR="00E96E96" w:rsidRDefault="00E96E96">
      <w:pPr>
        <w:spacing w:after="0" w:line="240" w:lineRule="atLeast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Тема 7.Особенности функционирования бирж цифровых валют. Инфраструктура рынка цифровых валют. </w:t>
      </w:r>
      <w:r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2 часа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«Криптокошельки» (virtual currency wallet): алгоритм функционирования и разновидности хранения (сold storage/hot storage). «Кастодиальное»/«некастодиальное» хранение. Обменники/биржи (стандарты и разновидности DEX/CEX). Виды ордеров и проблема микширования. Транспарентность/конфиденциальность (анонимность) транзакций.</w:t>
      </w:r>
    </w:p>
    <w:p w:rsidR="00E96E96" w:rsidRDefault="00E96E96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/>
          <w:color w:val="2C2D2E"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b/>
          <w:color w:val="2C2D2E"/>
          <w:sz w:val="24"/>
          <w:szCs w:val="24"/>
          <w:shd w:val="clear" w:color="auto" w:fill="FFFFFF"/>
          <w:lang w:eastAsia="en-US"/>
        </w:rPr>
        <w:t xml:space="preserve">Тема 8. Ончейн и технический анализ криптовалют. </w:t>
      </w:r>
      <w:r>
        <w:rPr>
          <w:rFonts w:ascii="Times New Roman" w:eastAsiaTheme="minorHAnsi" w:hAnsi="Times New Roman" w:cs="Times New Roman"/>
          <w:i/>
          <w:color w:val="2C2D2E"/>
          <w:sz w:val="24"/>
          <w:szCs w:val="24"/>
          <w:shd w:val="clear" w:color="auto" w:fill="FFFFFF"/>
          <w:lang w:eastAsia="en-US"/>
        </w:rPr>
        <w:t>2 часа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Виды графиков — линейный, японские свечи, бары. Временные интервалы и их взаимосвязь. Стакан заявок — спрос и предложение, участие маркетмейкера. Элементы технического анализа: тренд; разворот; движение и откат; консолидация. Уровни поддержки и сопротивления. Gap-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 w:eastAsia="en-US"/>
        </w:rPr>
        <w:t>u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p и Gap-down/ Простейшие индикаторы: объём; MA (скользящая средняя); RSI.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Ончейн-анализ как инструмент изучения поведения игроков рынка. Методология и инструмент ончей-аналитики для отслеживания транзакций в блокчейне. Основные ончейн-индикаторы: NVT ratio, Mvrv ratio, мультипликатор Пьюуэлла и нек. др.</w:t>
      </w:r>
    </w:p>
    <w:p w:rsidR="00E96E96" w:rsidRDefault="00E96E96">
      <w:pPr>
        <w:spacing w:after="0" w:line="240" w:lineRule="atLeast"/>
        <w:jc w:val="both"/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eastAsia="en-US"/>
        </w:rPr>
      </w:pP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Модуль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IV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 Цифровые валюты центральных банков, цифровой рубль и трансграничные платежи.</w:t>
      </w:r>
      <w:r w:rsidR="0041515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12 часов</w:t>
      </w:r>
    </w:p>
    <w:p w:rsidR="00E96E96" w:rsidRDefault="00E96E96">
      <w:pPr>
        <w:spacing w:after="0" w:line="240" w:lineRule="atLeast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E96E96" w:rsidRDefault="00F91015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Тема 1. Виды цифровых валют центральных банков (ЦВЦБ (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val="en-US" w:eastAsia="en-US"/>
        </w:rPr>
        <w:t>CBDC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): экономическая, техническая и юридическая квалификации. </w:t>
      </w:r>
      <w:r>
        <w:rPr>
          <w:rFonts w:ascii="Times New Roman" w:hAnsi="Times New Roman" w:cs="Times New Roman"/>
          <w:bCs/>
          <w:i/>
          <w:sz w:val="24"/>
          <w:szCs w:val="24"/>
        </w:rPr>
        <w:t>2 часа</w:t>
      </w:r>
    </w:p>
    <w:p w:rsidR="00E96E96" w:rsidRDefault="00F91015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Сравнительный анализ ЦВЦБ со стейблкоинами и нативной криптовалютой.</w:t>
      </w: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Основные модели реализации ЦВЦБ.</w:t>
      </w:r>
    </w:p>
    <w:p w:rsidR="00E96E96" w:rsidRDefault="00F91015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Технологические платформы для реализации ЦВЦБ.</w:t>
      </w:r>
    </w:p>
    <w:p w:rsidR="00E96E96" w:rsidRDefault="00E96E96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E96E96" w:rsidRDefault="00F91015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Тема 2. Влияние разных видов ЦВЦБ на экономические процессы: объем денежной массы и трансмиссионный механизм. </w:t>
      </w:r>
      <w:r>
        <w:rPr>
          <w:rFonts w:ascii="Times New Roman" w:hAnsi="Times New Roman" w:cs="Times New Roman"/>
          <w:bCs/>
          <w:i/>
          <w:sz w:val="24"/>
          <w:szCs w:val="24"/>
        </w:rPr>
        <w:t>1 час</w:t>
      </w:r>
    </w:p>
    <w:p w:rsidR="00E96E96" w:rsidRDefault="00E96E96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E96E96" w:rsidRDefault="00F9101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Тема 3.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Трансграничные платежи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Механизмы осуществления международных расчетов в цифровых валютах (ЦВЦБ).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Риски ЦВЦБ. </w:t>
      </w:r>
      <w:r>
        <w:rPr>
          <w:rFonts w:ascii="Times New Roman" w:hAnsi="Times New Roman" w:cs="Times New Roman"/>
          <w:bCs/>
          <w:i/>
          <w:sz w:val="24"/>
          <w:szCs w:val="24"/>
        </w:rPr>
        <w:t>2 часа</w:t>
      </w:r>
    </w:p>
    <w:p w:rsidR="00E96E96" w:rsidRDefault="00E96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96E96" w:rsidRDefault="00F9101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Тема 4. Цифровой евро: особенности инфраструктуры, регулирования и прохождения этапов внедрения в экономику. </w:t>
      </w:r>
      <w:r>
        <w:rPr>
          <w:rFonts w:ascii="Times New Roman" w:hAnsi="Times New Roman" w:cs="Times New Roman"/>
          <w:bCs/>
          <w:i/>
          <w:sz w:val="24"/>
          <w:szCs w:val="24"/>
        </w:rPr>
        <w:t>1 час</w:t>
      </w:r>
    </w:p>
    <w:p w:rsidR="00E96E96" w:rsidRDefault="00E96E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96E96" w:rsidRDefault="00F9101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 5. Основные вехи развития цифрового юаня и возможность применения опыта Китая в России.</w:t>
      </w:r>
      <w:r w:rsidR="004151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>2 часа</w:t>
      </w:r>
    </w:p>
    <w:p w:rsidR="00E96E96" w:rsidRDefault="00F9101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Особенности цифрового юаня. Задачи цифрового юаня. Поэтапное тестирование цифрового юаня.</w:t>
      </w:r>
    </w:p>
    <w:p w:rsidR="00E96E96" w:rsidRDefault="00E96E96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E96E96" w:rsidRDefault="00F91015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Тема 6. Развитие ЦВЦБ в отдельных странах. </w:t>
      </w:r>
      <w:r>
        <w:rPr>
          <w:rFonts w:ascii="Times New Roman" w:hAnsi="Times New Roman" w:cs="Times New Roman"/>
          <w:bCs/>
          <w:i/>
          <w:sz w:val="24"/>
          <w:szCs w:val="24"/>
        </w:rPr>
        <w:t>1 час</w:t>
      </w:r>
    </w:p>
    <w:p w:rsidR="00E96E96" w:rsidRDefault="00F91015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Исследования международных организаций в направлении ЦВЦБ.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Результаты зарубежных центральных банков по созданию и использованию ЦВЦБ.</w:t>
      </w: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Публичные планы иностранных государств по внедрению и развитию ЦВЦБ.</w:t>
      </w:r>
    </w:p>
    <w:p w:rsidR="00E96E96" w:rsidRDefault="00E96E96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96E96" w:rsidRDefault="00F91015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Тема 7. Особенности механизмов ПОД/ФТ/ФРОМУ, связанных с внедрением ЦВЦБ. </w:t>
      </w:r>
      <w:r>
        <w:rPr>
          <w:rFonts w:ascii="Times New Roman" w:hAnsi="Times New Roman" w:cs="Times New Roman"/>
          <w:bCs/>
          <w:i/>
          <w:sz w:val="24"/>
          <w:szCs w:val="24"/>
        </w:rPr>
        <w:t>1 час</w:t>
      </w:r>
    </w:p>
    <w:p w:rsidR="00E96E96" w:rsidRDefault="00E96E96">
      <w:pPr>
        <w:spacing w:after="0" w:line="240" w:lineRule="atLeast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Тема 8. Цифровые мосты для расчетов в CBDC. </w:t>
      </w:r>
      <w:r>
        <w:rPr>
          <w:rFonts w:ascii="Times New Roman" w:eastAsiaTheme="minorHAnsi" w:hAnsi="Times New Roman" w:cs="Times New Roman"/>
          <w:bCs/>
          <w:i/>
          <w:sz w:val="24"/>
          <w:szCs w:val="24"/>
          <w:lang w:eastAsia="en-US"/>
        </w:rPr>
        <w:t>1 час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Типы цифровых мостов, преимущества и недостатки. Возможность применения в российской практике.</w:t>
      </w:r>
    </w:p>
    <w:p w:rsidR="00E96E96" w:rsidRDefault="00F9101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Возможности внедрения и развития российской инфраструктуры в дружественных странах.</w:t>
      </w:r>
    </w:p>
    <w:p w:rsidR="00E96E96" w:rsidRDefault="00E96E96">
      <w:pPr>
        <w:spacing w:after="0" w:line="240" w:lineRule="atLeast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Тема 9. Создание безопасной среды для внедрения смарт-контрактов в ЦВЦБ. </w:t>
      </w:r>
      <w:r>
        <w:rPr>
          <w:rFonts w:ascii="Times New Roman" w:eastAsiaTheme="minorHAnsi" w:hAnsi="Times New Roman" w:cs="Times New Roman"/>
          <w:bCs/>
          <w:i/>
          <w:sz w:val="24"/>
          <w:szCs w:val="24"/>
          <w:lang w:eastAsia="en-US"/>
        </w:rPr>
        <w:t>1 час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Преимущества для бизнеса.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Возможности для российского бизнеса.</w:t>
      </w:r>
    </w:p>
    <w:p w:rsidR="00E96E96" w:rsidRDefault="00E96E9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96E96" w:rsidRDefault="00F910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Модуль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Концепция W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3.0 Метабанкинг, метавселенные. Решения и тренды на финансовом рынке.</w:t>
      </w:r>
      <w:r w:rsidR="004151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14 часов</w:t>
      </w:r>
    </w:p>
    <w:p w:rsidR="00E96E96" w:rsidRDefault="00F91015">
      <w:pPr>
        <w:spacing w:after="0" w:line="240" w:lineRule="atLeast"/>
        <w:jc w:val="both"/>
        <w:rPr>
          <w:rFonts w:ascii="Times New Roman" w:hAnsi="Times New Roman" w:cs="Times New Roman"/>
          <w:i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C2D2E"/>
          <w:sz w:val="24"/>
          <w:szCs w:val="24"/>
          <w:shd w:val="clear" w:color="auto" w:fill="FFFFFF"/>
        </w:rPr>
        <w:t xml:space="preserve">Тема 1. Природа Web 3.0, ее особенности, причины формирования и перехода. </w:t>
      </w:r>
      <w:r>
        <w:rPr>
          <w:rFonts w:ascii="Times New Roman" w:hAnsi="Times New Roman" w:cs="Times New Roman"/>
          <w:i/>
          <w:color w:val="2C2D2E"/>
          <w:sz w:val="24"/>
          <w:szCs w:val="24"/>
          <w:shd w:val="clear" w:color="auto" w:fill="FFFFFF"/>
        </w:rPr>
        <w:t>2 часа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Характеристика интернета эпохи 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 w:eastAsia="en-US"/>
        </w:rPr>
        <w:t>Web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 1.0 и 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 w:eastAsia="en-US"/>
        </w:rPr>
        <w:t>Web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 2.0, предпосылки и переход в эпоху 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 w:eastAsia="en-US"/>
        </w:rPr>
        <w:t>Web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 3.0.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Определение и особенности 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 w:eastAsia="en-US"/>
        </w:rPr>
        <w:t>Web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 3.0 — интернет, протоколы, способ взаимодействия, децентрализация, контроль данных, инструменты, безопасность, риски.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Новые возможности и способы взаимодействия, построение горизонтальных сетевых сообществ и современных кооперативов на блокчейне в виде 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 w:eastAsia="en-US"/>
        </w:rPr>
        <w:t>DAO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.</w:t>
      </w:r>
    </w:p>
    <w:p w:rsidR="00E96E96" w:rsidRDefault="00E96E96">
      <w:pPr>
        <w:spacing w:after="0" w:line="240" w:lineRule="atLeast"/>
        <w:jc w:val="both"/>
        <w:rPr>
          <w:rFonts w:ascii="Times New Roman" w:eastAsiaTheme="minorHAnsi" w:hAnsi="Times New Roman" w:cs="Times New Roman"/>
          <w:b/>
          <w:color w:val="2C2D2E"/>
          <w:sz w:val="24"/>
          <w:szCs w:val="24"/>
          <w:shd w:val="clear" w:color="auto" w:fill="FFFFFF"/>
          <w:lang w:eastAsia="en-US"/>
        </w:rPr>
      </w:pP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/>
          <w:color w:val="2C2D2E"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b/>
          <w:color w:val="2C2D2E"/>
          <w:sz w:val="24"/>
          <w:szCs w:val="24"/>
          <w:shd w:val="clear" w:color="auto" w:fill="FFFFFF"/>
          <w:lang w:eastAsia="en-US"/>
        </w:rPr>
        <w:t>Тема 2. Причины формирования метавселенных, их развитие и перспективы.</w:t>
      </w:r>
      <w:r w:rsidR="0041515D">
        <w:rPr>
          <w:rFonts w:ascii="Times New Roman" w:eastAsiaTheme="minorHAnsi" w:hAnsi="Times New Roman" w:cs="Times New Roman"/>
          <w:b/>
          <w:color w:val="2C2D2E"/>
          <w:sz w:val="24"/>
          <w:szCs w:val="24"/>
          <w:shd w:val="clear" w:color="auto" w:fill="FFFFFF"/>
          <w:lang w:eastAsia="en-US"/>
        </w:rPr>
        <w:t xml:space="preserve"> </w:t>
      </w:r>
      <w:r>
        <w:rPr>
          <w:rFonts w:ascii="Times New Roman" w:hAnsi="Times New Roman" w:cs="Times New Roman"/>
          <w:i/>
          <w:color w:val="2C2D2E"/>
          <w:sz w:val="24"/>
          <w:szCs w:val="24"/>
          <w:shd w:val="clear" w:color="auto" w:fill="FFFFFF"/>
        </w:rPr>
        <w:t>2 часа</w:t>
      </w:r>
    </w:p>
    <w:p w:rsidR="00E96E96" w:rsidRDefault="00F91015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Развитие технологии VR, AR, XR, увеличение скорости передачи данных, криптотехнологии и блокчейн, экосистема обработки и хранение данных, доступность, синергия и естественный выход на новый уровень, новые способы взаимодействия между машинами и людьми, рождение первых метавселенных. Перспективы развития, многообразие, доступность, функциональность, финансовая интеграция, приятие пользователя, зачатки естественного отбора на выживаемость, MetaFi и Web 4.0 Рассмотрение примеров метавселенных: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Decentraland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, </w:t>
      </w:r>
      <w:r>
        <w:rPr>
          <w:rStyle w:val="aff7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en-US"/>
        </w:rPr>
        <w:t>Spatial</w:t>
      </w:r>
      <w:r>
        <w:rPr>
          <w:rStyle w:val="aff7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, </w:t>
      </w:r>
      <w:r>
        <w:rPr>
          <w:rStyle w:val="aff7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en-US"/>
        </w:rPr>
        <w:t>Oncyber</w:t>
      </w:r>
      <w:r>
        <w:rPr>
          <w:rStyle w:val="aff7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 и нек. др.</w:t>
      </w:r>
    </w:p>
    <w:p w:rsidR="00E96E96" w:rsidRDefault="00E96E96">
      <w:pPr>
        <w:spacing w:after="0" w:line="240" w:lineRule="atLeast"/>
        <w:jc w:val="both"/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eastAsia="en-US"/>
        </w:rPr>
      </w:pP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eastAsia="en-US"/>
        </w:rPr>
        <w:t>Тема 3. Особенности банкинга, платежных услуг в метавселенных: метаплатежи и метабанкинг.</w:t>
      </w:r>
      <w:r w:rsidR="0041515D"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i/>
          <w:sz w:val="24"/>
          <w:szCs w:val="24"/>
          <w:shd w:val="clear" w:color="auto" w:fill="FFFFFF"/>
          <w:lang w:eastAsia="en-US"/>
        </w:rPr>
        <w:t>2 часа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Эволюция цифровых финансов в среде 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 w:eastAsia="en-US"/>
        </w:rPr>
        <w:t>Web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 3.0 — 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 w:eastAsia="en-US"/>
        </w:rPr>
        <w:t>DeFi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, 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 w:eastAsia="en-US"/>
        </w:rPr>
        <w:t>MetaFi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, 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 w:eastAsia="en-US"/>
        </w:rPr>
        <w:t>Neobanking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, 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 w:eastAsia="en-US"/>
        </w:rPr>
        <w:t>GameFi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, 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 w:eastAsia="en-US"/>
        </w:rPr>
        <w:t>NFT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, 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 w:eastAsia="en-US"/>
        </w:rPr>
        <w:t>Metaverses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Платежные методы в метавселенных, их взаимосвязь, характеристики, связки.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Тенденции и направление развития платежей и банкинга в метавселенных, их объединение с социальными сетями, 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 w:eastAsia="en-US"/>
        </w:rPr>
        <w:t>Superapp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, мессенджерами и кошельками 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 w:eastAsia="en-US"/>
        </w:rPr>
        <w:t>Web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3.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 w:eastAsia="en-US"/>
        </w:rPr>
        <w:t>Web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 3 кошелек как пульт управления всеми финансовыми сервисами и платежами в метапространствах.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Переход в MetaFi и 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 w:eastAsia="en-US"/>
        </w:rPr>
        <w:t>Web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 4.0, раскрытие потенциала и эволюция децентрализованных финансовых сервисов.</w:t>
      </w:r>
    </w:p>
    <w:p w:rsidR="00E96E96" w:rsidRDefault="00E96E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E96E96" w:rsidRDefault="00F9101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Тема 4. Особенности механизмов ПОД/ФТ/ФРОМУ в метавселенных и метарасчетах.</w:t>
      </w:r>
      <w:r w:rsidR="0041515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1 час</w:t>
      </w:r>
    </w:p>
    <w:p w:rsidR="00E96E96" w:rsidRDefault="00E96E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E96E96" w:rsidRDefault="00F9101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Тема 5. Новые экономические сети в реальности </w:t>
      </w:r>
      <w:r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eastAsia="en-US"/>
        </w:rPr>
        <w:t>Web 3.0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 участники и их взаимодействие.</w:t>
      </w:r>
      <w:r w:rsidR="0041515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1 час</w:t>
      </w:r>
    </w:p>
    <w:p w:rsidR="00E96E96" w:rsidRDefault="00E96E96">
      <w:pPr>
        <w:spacing w:after="0" w:line="240" w:lineRule="atLeast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Тема 6. Трансформация финансовых организаций, финансовых продуктов, услуг и сервисов.</w:t>
      </w:r>
      <w:r w:rsidR="0041515D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Cs/>
          <w:i/>
          <w:sz w:val="24"/>
          <w:szCs w:val="24"/>
          <w:lang w:eastAsia="en-US"/>
        </w:rPr>
        <w:t>6 часов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Банковский сектор, платежные услуги.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Страхование.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Брокерские услуги, организация торговли (биржевая деятельность).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Сектор инвестиций.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Новые финансовые продукты.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Финтех-сервисы цифрового поколения.</w:t>
      </w:r>
    </w:p>
    <w:p w:rsidR="00E96E96" w:rsidRDefault="00E96E96">
      <w:pPr>
        <w:spacing w:after="0" w:line="240" w:lineRule="atLeast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E96E96" w:rsidRDefault="00F91015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Модуль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Правовое регулирование, защита от рисков при использовании цифровых технологий на финансовых рынках.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14 часов</w:t>
      </w:r>
    </w:p>
    <w:p w:rsidR="00E96E96" w:rsidRDefault="00E96E96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6E96" w:rsidRDefault="00F91015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1. Правовое регулирование и юридические практики.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 часа</w:t>
      </w:r>
    </w:p>
    <w:p w:rsidR="00E96E96" w:rsidRDefault="00F91015">
      <w:pPr>
        <w:shd w:val="clear" w:color="auto" w:fill="FFFFFF"/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Роль государства и международных организаций в регулировании цифровых финансовых технологий. Защита персональных данных и кибербезопасность. Интеллектуальная собственность, защита цифрового контента. Ключевые нормы текущего российского правового регулирования в сфере цифровых активов, направления развития законодательства.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Тема 2. Международные тренды регулирования цифровых активов и цифровых валют.</w:t>
      </w:r>
      <w:r w:rsidR="0041515D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Cs/>
          <w:i/>
          <w:sz w:val="24"/>
          <w:szCs w:val="24"/>
          <w:lang w:eastAsia="en-US"/>
        </w:rPr>
        <w:t>4 часа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Цифровые валюты: особенности зарубежного законодательства, правоприменительная практика.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Невзаимозаменяемые» токены (NFT). Стейблкоины. Алгоритмические стейблкоины.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Международные подходы к нормативному регулированию смарт-контрактов.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Имплементация смарт-контрактов в российскую практику.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Правовое регулирование ЦФА и криптовалют в КНР и Макао, Сингапуре, отдельных странах СНГ: общие положения, ответственность за операции с криптовалютой и финансирование при помощи </w:t>
      </w:r>
      <w:r>
        <w:rPr>
          <w:rFonts w:ascii="Times New Roman" w:eastAsiaTheme="minorHAnsi" w:hAnsi="Times New Roman" w:cs="Times New Roman"/>
          <w:bCs/>
          <w:sz w:val="24"/>
          <w:szCs w:val="24"/>
          <w:lang w:val="en-US" w:eastAsia="en-US"/>
        </w:rPr>
        <w:t>ICO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, судебная практика, регулирование технологий блокчейн.</w:t>
      </w:r>
    </w:p>
    <w:p w:rsidR="00E96E96" w:rsidRDefault="00E96E96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Тема 3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. 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Инфраструктура рынка цифровых активов. Нормативные требования.</w:t>
      </w:r>
      <w:r w:rsidR="0041515D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Cs/>
          <w:i/>
          <w:sz w:val="24"/>
          <w:szCs w:val="24"/>
          <w:lang w:eastAsia="en-US"/>
        </w:rPr>
        <w:t>2 часа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Требования к поставщикам услуг в сфере оборота цифровых активов (допуск поставщиков услуг в сфере оборота цифровых валют на рынок финансовых услуг).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Особенности применения AML и KYC процедур.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Особенности российского законодательства.</w:t>
      </w:r>
    </w:p>
    <w:p w:rsidR="00E96E96" w:rsidRDefault="00F91015">
      <w:pPr>
        <w:spacing w:after="0" w:line="240" w:lineRule="atLeast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Требования к информационным системам поставщиков услуг в сфере оборота цифровых валют.</w:t>
      </w:r>
    </w:p>
    <w:p w:rsidR="00E96E96" w:rsidRDefault="00F91015">
      <w:pPr>
        <w:spacing w:after="0"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Особенности международного законодательства.</w:t>
      </w:r>
    </w:p>
    <w:p w:rsidR="00E96E96" w:rsidRDefault="00E96E96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6E96" w:rsidRDefault="00F91015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4. Правонарушения, недобросовестные практики и их пресечение.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 часа</w:t>
      </w:r>
    </w:p>
    <w:p w:rsidR="00E96E96" w:rsidRDefault="00F91015">
      <w:pPr>
        <w:spacing w:after="0" w:line="240" w:lineRule="auto"/>
        <w:jc w:val="both"/>
        <w:rPr>
          <w:rFonts w:ascii="Times New Roman" w:eastAsiaTheme="minorHAnsi" w:hAnsi="Times New Roman" w:cs="Times New Roman"/>
          <w:color w:val="2C2D2E"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color w:val="2C2D2E"/>
          <w:sz w:val="24"/>
          <w:szCs w:val="24"/>
          <w:shd w:val="clear" w:color="auto" w:fill="FFFFFF"/>
          <w:lang w:eastAsia="en-US"/>
        </w:rPr>
        <w:t>Гражданская, административная, налоговая, уголовная ответственность за</w:t>
      </w:r>
      <w:r w:rsidR="0041515D">
        <w:rPr>
          <w:rFonts w:ascii="Times New Roman" w:eastAsiaTheme="minorHAnsi" w:hAnsi="Times New Roman" w:cs="Times New Roman"/>
          <w:color w:val="2C2D2E"/>
          <w:sz w:val="24"/>
          <w:szCs w:val="24"/>
          <w:shd w:val="clear" w:color="auto" w:fill="FFFFFF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color w:val="2C2D2E"/>
          <w:sz w:val="24"/>
          <w:szCs w:val="24"/>
          <w:shd w:val="clear" w:color="auto" w:fill="FFFFFF"/>
          <w:lang w:eastAsia="en-US"/>
        </w:rPr>
        <w:t>нарушение законодательства в сфере оборота цифровых активов: нормативные и практические аспекты. Международная и отечественная практика.</w:t>
      </w:r>
    </w:p>
    <w:p w:rsidR="00E96E96" w:rsidRDefault="00F910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Криминологические риски. Преступления, совершаемых с использованием цифровых технологий на финансовых рынках</w:t>
      </w:r>
    </w:p>
    <w:p w:rsidR="00E96E96" w:rsidRDefault="00F910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color w:val="2C2D2E"/>
          <w:sz w:val="24"/>
          <w:szCs w:val="24"/>
          <w:shd w:val="clear" w:color="auto" w:fill="FFFFFF"/>
          <w:lang w:eastAsia="en-US"/>
        </w:rPr>
        <w:t xml:space="preserve">Недобросовестные практики на рынке цифровых активов и цифровых валют. </w:t>
      </w:r>
      <w:r>
        <w:rPr>
          <w:rFonts w:ascii="Times New Roman" w:eastAsia="Times New Roman" w:hAnsi="Times New Roman" w:cs="Times New Roman"/>
          <w:sz w:val="24"/>
          <w:szCs w:val="24"/>
        </w:rPr>
        <w:t>Пресечение недобросовестных практик на финансовых рынках с использованием информационных технологий.</w:t>
      </w:r>
      <w:r>
        <w:rPr>
          <w:rFonts w:ascii="Times New Roman" w:eastAsiaTheme="minorHAnsi" w:hAnsi="Times New Roman" w:cs="Times New Roman"/>
          <w:color w:val="2C2D2E"/>
          <w:sz w:val="24"/>
          <w:szCs w:val="24"/>
          <w:shd w:val="clear" w:color="auto" w:fill="FFFFFF"/>
          <w:lang w:eastAsia="en-US"/>
        </w:rPr>
        <w:t xml:space="preserve"> Применения ончейн-методов (включая Proof of reserves, дерево Меркла (доказательство резервов) в целях противодействия недобросовестным практикам, борьбы с финансовыми преступлениями.</w:t>
      </w:r>
    </w:p>
    <w:p w:rsidR="00E96E96" w:rsidRDefault="00E96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E96" w:rsidRDefault="00F910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Тема 5. Информационная безопасность. Кибербезопасность.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 час</w:t>
      </w:r>
    </w:p>
    <w:p w:rsidR="00E96E96" w:rsidRDefault="00E96E96">
      <w:pPr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E96E96" w:rsidRDefault="00F91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6. KYT («Знай свою транзакцию») и ее место в легализации операций с криптовалютами.</w:t>
      </w:r>
      <w:r w:rsidR="0041515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1 час</w:t>
      </w:r>
    </w:p>
    <w:p w:rsidR="00E96E96" w:rsidRDefault="00E96E96">
      <w:pPr>
        <w:spacing w:after="0" w:line="240" w:lineRule="atLeast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E96E96" w:rsidRDefault="00F91015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Итоговая аттестация.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Подведение итогов обучения. Диалог руководителя программы, куратора курса со слушателями.</w:t>
      </w:r>
    </w:p>
    <w:p w:rsidR="00E96E96" w:rsidRDefault="00E96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6E96" w:rsidRDefault="00F9101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Документ об обучении</w:t>
      </w:r>
      <w:r>
        <w:rPr>
          <w:rFonts w:ascii="Times New Roman" w:hAnsi="Times New Roman" w:cs="Times New Roman"/>
          <w:sz w:val="24"/>
          <w:szCs w:val="24"/>
        </w:rPr>
        <w:t>. Слушатели, успешно завершившие обучение, получат удостоверение о повышении квалификации.</w:t>
      </w:r>
    </w:p>
    <w:p w:rsidR="00E96E96" w:rsidRDefault="00E96E96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96E96" w:rsidRDefault="00F9101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обучения, продолжительность и расписание занятий</w:t>
      </w:r>
      <w:r>
        <w:rPr>
          <w:rFonts w:ascii="Times New Roman" w:hAnsi="Times New Roman" w:cs="Times New Roman"/>
          <w:sz w:val="24"/>
          <w:szCs w:val="24"/>
        </w:rPr>
        <w:t>. Курс проходит в онлайн-формате. Ссылка на трансляцию и (или) логин, пароль заблаговременно направляются на электронную почту слушателя. Занятия проходят в вечернее время с 18.30 до 21.45 мск (предусмотрен перерыв 15 минут). Всего 21 занятие по 4 академических часа в течение полутора месяцев. Общая продолжительность курса —84 академических часа. Расписание курса размещается на официальном сайте Института МФЦ или может быть направлено по запросу.</w:t>
      </w:r>
    </w:p>
    <w:p w:rsidR="00E96E96" w:rsidRDefault="00E96E96">
      <w:pPr>
        <w:spacing w:after="0" w:line="240" w:lineRule="atLeast"/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6E96" w:rsidRDefault="00F91015">
      <w:pPr>
        <w:spacing w:after="0" w:line="240" w:lineRule="atLeast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Доступ к учебным материалам</w:t>
      </w:r>
      <w:r>
        <w:rPr>
          <w:rFonts w:ascii="Times New Roman" w:hAnsi="Times New Roman" w:cs="Times New Roman"/>
          <w:sz w:val="24"/>
          <w:szCs w:val="24"/>
        </w:rPr>
        <w:t>. Электронные презентации, текстовые материалы размещаются в личном кабинете обучающегося на онлайн-платформе Института МФЦ, формируемом для слушателя к началу курса.</w:t>
      </w:r>
    </w:p>
    <w:p w:rsidR="00E96E96" w:rsidRDefault="00E96E96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6E96" w:rsidRDefault="00F9101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обучения.</w:t>
      </w:r>
      <w:r w:rsidR="0041515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85 000 (восемьдесят пять тысяч</w:t>
      </w:r>
      <w:r w:rsidR="0041515D">
        <w:rPr>
          <w:rFonts w:ascii="Times New Roman" w:hAnsi="Times New Roman" w:cs="Times New Roman"/>
          <w:sz w:val="24"/>
          <w:szCs w:val="24"/>
        </w:rPr>
        <w:t>) рублей</w:t>
      </w:r>
      <w:r>
        <w:rPr>
          <w:rFonts w:ascii="Times New Roman" w:hAnsi="Times New Roman" w:cs="Times New Roman"/>
          <w:sz w:val="24"/>
          <w:szCs w:val="24"/>
        </w:rPr>
        <w:t xml:space="preserve"> за одного слушателя. Предоставляется скидка в размере 10%, начиная со второго слушателя от одной организации. Клиентам Института МФЦ, Учебного центра МФЦ предоставляется специальная льготная стоимость в размере 65 000 (шестидесяти пяти тысяч</w:t>
      </w:r>
      <w:r w:rsidR="0041515D">
        <w:rPr>
          <w:rFonts w:ascii="Times New Roman" w:hAnsi="Times New Roman" w:cs="Times New Roman"/>
          <w:sz w:val="24"/>
          <w:szCs w:val="24"/>
        </w:rPr>
        <w:t>) рублей</w:t>
      </w:r>
      <w:r>
        <w:rPr>
          <w:rFonts w:ascii="Times New Roman" w:hAnsi="Times New Roman" w:cs="Times New Roman"/>
          <w:sz w:val="24"/>
          <w:szCs w:val="24"/>
        </w:rPr>
        <w:t xml:space="preserve"> за одного слушателя.</w:t>
      </w:r>
    </w:p>
    <w:p w:rsidR="00E96E96" w:rsidRDefault="00E96E96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6E96" w:rsidRDefault="00F91015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Запись на обучение</w:t>
      </w:r>
      <w:r>
        <w:rPr>
          <w:rFonts w:ascii="Times New Roman" w:hAnsi="Times New Roman" w:cs="Times New Roman"/>
          <w:sz w:val="24"/>
          <w:szCs w:val="24"/>
        </w:rPr>
        <w:t xml:space="preserve">. По вопросам участия в обучении обращаться к Махнович Инне, </w:t>
      </w:r>
      <w:hyperlink r:id="rId10" w:tooltip="mailto:seminar6@educenter.ru" w:history="1">
        <w:r>
          <w:rPr>
            <w:rStyle w:val="aff0"/>
            <w:rFonts w:ascii="Times New Roman" w:hAnsi="Times New Roman" w:cs="Times New Roman"/>
            <w:sz w:val="24"/>
            <w:szCs w:val="24"/>
            <w:lang w:val="en-US"/>
          </w:rPr>
          <w:t>seminar</w:t>
        </w:r>
        <w:r>
          <w:rPr>
            <w:rStyle w:val="aff0"/>
            <w:rFonts w:ascii="Times New Roman" w:hAnsi="Times New Roman" w:cs="Times New Roman"/>
            <w:sz w:val="24"/>
            <w:szCs w:val="24"/>
          </w:rPr>
          <w:t>6@</w:t>
        </w:r>
        <w:r>
          <w:rPr>
            <w:rStyle w:val="aff0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>
          <w:rPr>
            <w:rStyle w:val="aff0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ff0"/>
            <w:rFonts w:ascii="Times New Roman" w:hAnsi="Times New Roman" w:cs="Times New Roman"/>
            <w:sz w:val="24"/>
            <w:szCs w:val="24"/>
            <w:u w:val="none"/>
            <w:lang w:val="en-US"/>
          </w:rPr>
          <w:t>ru</w:t>
        </w:r>
      </w:hyperlink>
      <w:r w:rsidR="0041515D">
        <w:t xml:space="preserve"> </w:t>
      </w:r>
      <w:r>
        <w:rPr>
          <w:rStyle w:val="aff0"/>
          <w:rFonts w:ascii="Times New Roman" w:hAnsi="Times New Roman" w:cs="Times New Roman"/>
          <w:color w:val="auto"/>
          <w:sz w:val="24"/>
          <w:szCs w:val="24"/>
          <w:u w:val="none"/>
        </w:rPr>
        <w:t xml:space="preserve">или </w:t>
      </w:r>
      <w:r>
        <w:rPr>
          <w:rFonts w:ascii="Times New Roman" w:hAnsi="Times New Roman" w:cs="Times New Roman"/>
          <w:sz w:val="24"/>
          <w:szCs w:val="24"/>
        </w:rPr>
        <w:t xml:space="preserve">Шуваевой Марии, </w:t>
      </w:r>
      <w:hyperlink r:id="rId11" w:tooltip="mailto:seminar2@educenter.ru" w:history="1">
        <w:r>
          <w:rPr>
            <w:rStyle w:val="aff0"/>
            <w:rFonts w:ascii="Times New Roman" w:hAnsi="Times New Roman" w:cs="Times New Roman"/>
            <w:sz w:val="24"/>
            <w:szCs w:val="24"/>
            <w:lang w:val="en-US"/>
          </w:rPr>
          <w:t>seminar</w:t>
        </w:r>
        <w:r>
          <w:rPr>
            <w:rStyle w:val="aff0"/>
            <w:rFonts w:ascii="Times New Roman" w:hAnsi="Times New Roman" w:cs="Times New Roman"/>
            <w:sz w:val="24"/>
            <w:szCs w:val="24"/>
          </w:rPr>
          <w:t>2@</w:t>
        </w:r>
        <w:r>
          <w:rPr>
            <w:rStyle w:val="aff0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>
          <w:rPr>
            <w:rStyle w:val="aff0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ff0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тел. +7(495)9212273, сайт: </w:t>
      </w:r>
      <w:hyperlink r:id="rId12" w:tooltip="http://www.educenter.ru" w:history="1">
        <w:r>
          <w:rPr>
            <w:rStyle w:val="aff0"/>
            <w:rFonts w:ascii="Times New Roman" w:hAnsi="Times New Roman" w:cs="Times New Roman"/>
            <w:sz w:val="24"/>
            <w:szCs w:val="24"/>
          </w:rPr>
          <w:t>www.</w:t>
        </w:r>
        <w:r>
          <w:rPr>
            <w:rStyle w:val="aff0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>
          <w:rPr>
            <w:rStyle w:val="aff0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ff0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sectPr w:rsidR="00E96E96" w:rsidSect="00E96E96">
      <w:footerReference w:type="default" r:id="rId13"/>
      <w:pgSz w:w="11906" w:h="16838"/>
      <w:pgMar w:top="567" w:right="991" w:bottom="1134" w:left="1276" w:header="283" w:footer="283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0454" w:rsidRDefault="00590454">
      <w:pPr>
        <w:spacing w:after="0" w:line="240" w:lineRule="auto"/>
      </w:pPr>
      <w:r>
        <w:separator/>
      </w:r>
    </w:p>
  </w:endnote>
  <w:endnote w:type="continuationSeparator" w:id="1">
    <w:p w:rsidR="00590454" w:rsidRDefault="00590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1005018"/>
      <w:docPartObj>
        <w:docPartGallery w:val="Page Numbers (Bottom of Page)"/>
        <w:docPartUnique/>
      </w:docPartObj>
    </w:sdtPr>
    <w:sdtContent>
      <w:p w:rsidR="00E96E96" w:rsidRDefault="005F744A">
        <w:pPr>
          <w:pStyle w:val="Footer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 w:rsidR="00F91015"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235780">
          <w:rPr>
            <w:rFonts w:ascii="Times New Roman" w:hAnsi="Times New Roman" w:cs="Times New Roman"/>
            <w:noProof/>
          </w:rPr>
          <w:t>10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E96E96" w:rsidRDefault="00E96E9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0454" w:rsidRDefault="00590454">
      <w:pPr>
        <w:spacing w:after="0" w:line="240" w:lineRule="auto"/>
      </w:pPr>
      <w:r>
        <w:separator/>
      </w:r>
    </w:p>
  </w:footnote>
  <w:footnote w:type="continuationSeparator" w:id="1">
    <w:p w:rsidR="00590454" w:rsidRDefault="005904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41BEF"/>
    <w:multiLevelType w:val="hybridMultilevel"/>
    <w:tmpl w:val="A5C02A62"/>
    <w:lvl w:ilvl="0" w:tplc="4B406C2C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3E247F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E6CECF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AF96A2C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096E0F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5D6AB5C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7FD46EA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51CC81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954C036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70D1E1E"/>
    <w:multiLevelType w:val="hybridMultilevel"/>
    <w:tmpl w:val="4C98BDD4"/>
    <w:lvl w:ilvl="0" w:tplc="F63C1380">
      <w:start w:val="1"/>
      <w:numFmt w:val="bullet"/>
      <w:lvlText w:val="●"/>
      <w:lvlJc w:val="left"/>
      <w:pPr>
        <w:ind w:left="2433" w:hanging="360"/>
      </w:pPr>
      <w:rPr>
        <w:rFonts w:ascii="Noto Sans Symbols" w:eastAsia="Noto Sans Symbols" w:hAnsi="Noto Sans Symbols" w:cs="Noto Sans Symbols"/>
      </w:rPr>
    </w:lvl>
    <w:lvl w:ilvl="1" w:tplc="8F8A147E">
      <w:start w:val="1"/>
      <w:numFmt w:val="bullet"/>
      <w:lvlText w:val="o"/>
      <w:lvlJc w:val="left"/>
      <w:pPr>
        <w:ind w:left="3153" w:hanging="360"/>
      </w:pPr>
      <w:rPr>
        <w:rFonts w:ascii="Courier New" w:eastAsia="Courier New" w:hAnsi="Courier New" w:cs="Courier New"/>
      </w:rPr>
    </w:lvl>
    <w:lvl w:ilvl="2" w:tplc="93D60AE0">
      <w:start w:val="1"/>
      <w:numFmt w:val="bullet"/>
      <w:lvlText w:val="▪"/>
      <w:lvlJc w:val="left"/>
      <w:pPr>
        <w:ind w:left="3873" w:hanging="360"/>
      </w:pPr>
      <w:rPr>
        <w:rFonts w:ascii="Noto Sans Symbols" w:eastAsia="Noto Sans Symbols" w:hAnsi="Noto Sans Symbols" w:cs="Noto Sans Symbols"/>
      </w:rPr>
    </w:lvl>
    <w:lvl w:ilvl="3" w:tplc="A21807E6">
      <w:start w:val="1"/>
      <w:numFmt w:val="bullet"/>
      <w:lvlText w:val="●"/>
      <w:lvlJc w:val="left"/>
      <w:pPr>
        <w:ind w:left="4593" w:hanging="360"/>
      </w:pPr>
      <w:rPr>
        <w:rFonts w:ascii="Noto Sans Symbols" w:eastAsia="Noto Sans Symbols" w:hAnsi="Noto Sans Symbols" w:cs="Noto Sans Symbols"/>
      </w:rPr>
    </w:lvl>
    <w:lvl w:ilvl="4" w:tplc="5A1AEA1E">
      <w:start w:val="1"/>
      <w:numFmt w:val="bullet"/>
      <w:lvlText w:val="o"/>
      <w:lvlJc w:val="left"/>
      <w:pPr>
        <w:ind w:left="5313" w:hanging="360"/>
      </w:pPr>
      <w:rPr>
        <w:rFonts w:ascii="Courier New" w:eastAsia="Courier New" w:hAnsi="Courier New" w:cs="Courier New"/>
      </w:rPr>
    </w:lvl>
    <w:lvl w:ilvl="5" w:tplc="02804AAE">
      <w:start w:val="1"/>
      <w:numFmt w:val="bullet"/>
      <w:lvlText w:val="▪"/>
      <w:lvlJc w:val="left"/>
      <w:pPr>
        <w:ind w:left="6033" w:hanging="360"/>
      </w:pPr>
      <w:rPr>
        <w:rFonts w:ascii="Noto Sans Symbols" w:eastAsia="Noto Sans Symbols" w:hAnsi="Noto Sans Symbols" w:cs="Noto Sans Symbols"/>
      </w:rPr>
    </w:lvl>
    <w:lvl w:ilvl="6" w:tplc="46606226">
      <w:start w:val="1"/>
      <w:numFmt w:val="bullet"/>
      <w:lvlText w:val="●"/>
      <w:lvlJc w:val="left"/>
      <w:pPr>
        <w:ind w:left="6753" w:hanging="360"/>
      </w:pPr>
      <w:rPr>
        <w:rFonts w:ascii="Noto Sans Symbols" w:eastAsia="Noto Sans Symbols" w:hAnsi="Noto Sans Symbols" w:cs="Noto Sans Symbols"/>
      </w:rPr>
    </w:lvl>
    <w:lvl w:ilvl="7" w:tplc="B28AFEB0">
      <w:start w:val="1"/>
      <w:numFmt w:val="bullet"/>
      <w:lvlText w:val="o"/>
      <w:lvlJc w:val="left"/>
      <w:pPr>
        <w:ind w:left="7473" w:hanging="360"/>
      </w:pPr>
      <w:rPr>
        <w:rFonts w:ascii="Courier New" w:eastAsia="Courier New" w:hAnsi="Courier New" w:cs="Courier New"/>
      </w:rPr>
    </w:lvl>
    <w:lvl w:ilvl="8" w:tplc="4B428E8A">
      <w:start w:val="1"/>
      <w:numFmt w:val="bullet"/>
      <w:lvlText w:val="▪"/>
      <w:lvlJc w:val="left"/>
      <w:pPr>
        <w:ind w:left="8193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25794701"/>
    <w:multiLevelType w:val="hybridMultilevel"/>
    <w:tmpl w:val="8CECCE5C"/>
    <w:lvl w:ilvl="0" w:tplc="3148E8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CE246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76C65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184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3FA76A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990A2D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2EADDD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98EEB7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4BAF2E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C053A2"/>
    <w:multiLevelType w:val="hybridMultilevel"/>
    <w:tmpl w:val="67C20480"/>
    <w:lvl w:ilvl="0" w:tplc="09DA4E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404042C6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9885B9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AF5603EC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C821FA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4201B0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A3CB88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5FACE59C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3F6C33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78774B4"/>
    <w:multiLevelType w:val="hybridMultilevel"/>
    <w:tmpl w:val="D7741D46"/>
    <w:lvl w:ilvl="0" w:tplc="63AAC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A961C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6C3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74E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98F3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4C93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20E6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5243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5ED3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E472EB"/>
    <w:multiLevelType w:val="hybridMultilevel"/>
    <w:tmpl w:val="A43290DC"/>
    <w:lvl w:ilvl="0" w:tplc="D840AF92">
      <w:start w:val="1"/>
      <w:numFmt w:val="decimal"/>
      <w:lvlText w:val="%1."/>
      <w:lvlJc w:val="left"/>
      <w:pPr>
        <w:ind w:left="1287" w:hanging="360"/>
      </w:pPr>
    </w:lvl>
    <w:lvl w:ilvl="1" w:tplc="FCDE8302">
      <w:numFmt w:val="none"/>
      <w:lvlText w:val=""/>
      <w:lvlJc w:val="left"/>
      <w:pPr>
        <w:tabs>
          <w:tab w:val="num" w:pos="360"/>
        </w:tabs>
      </w:pPr>
    </w:lvl>
    <w:lvl w:ilvl="2" w:tplc="79F65E6A">
      <w:numFmt w:val="none"/>
      <w:lvlText w:val=""/>
      <w:lvlJc w:val="left"/>
      <w:pPr>
        <w:tabs>
          <w:tab w:val="num" w:pos="360"/>
        </w:tabs>
      </w:pPr>
    </w:lvl>
    <w:lvl w:ilvl="3" w:tplc="7C868A38">
      <w:numFmt w:val="none"/>
      <w:lvlText w:val=""/>
      <w:lvlJc w:val="left"/>
      <w:pPr>
        <w:tabs>
          <w:tab w:val="num" w:pos="360"/>
        </w:tabs>
      </w:pPr>
    </w:lvl>
    <w:lvl w:ilvl="4" w:tplc="17F44644">
      <w:numFmt w:val="none"/>
      <w:lvlText w:val=""/>
      <w:lvlJc w:val="left"/>
      <w:pPr>
        <w:tabs>
          <w:tab w:val="num" w:pos="360"/>
        </w:tabs>
      </w:pPr>
    </w:lvl>
    <w:lvl w:ilvl="5" w:tplc="317AA1BA">
      <w:numFmt w:val="none"/>
      <w:lvlText w:val=""/>
      <w:lvlJc w:val="left"/>
      <w:pPr>
        <w:tabs>
          <w:tab w:val="num" w:pos="360"/>
        </w:tabs>
      </w:pPr>
    </w:lvl>
    <w:lvl w:ilvl="6" w:tplc="C5AC1564">
      <w:numFmt w:val="none"/>
      <w:lvlText w:val=""/>
      <w:lvlJc w:val="left"/>
      <w:pPr>
        <w:tabs>
          <w:tab w:val="num" w:pos="360"/>
        </w:tabs>
      </w:pPr>
    </w:lvl>
    <w:lvl w:ilvl="7" w:tplc="0DC470BE">
      <w:numFmt w:val="none"/>
      <w:lvlText w:val=""/>
      <w:lvlJc w:val="left"/>
      <w:pPr>
        <w:tabs>
          <w:tab w:val="num" w:pos="360"/>
        </w:tabs>
      </w:pPr>
    </w:lvl>
    <w:lvl w:ilvl="8" w:tplc="B20E6744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4D981674"/>
    <w:multiLevelType w:val="hybridMultilevel"/>
    <w:tmpl w:val="1D2ECEC6"/>
    <w:lvl w:ilvl="0" w:tplc="F984C1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49AC4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EB0449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3840EA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086D13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15E98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80681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1B8532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B8CCF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6E35E4"/>
    <w:multiLevelType w:val="hybridMultilevel"/>
    <w:tmpl w:val="39B67E7C"/>
    <w:lvl w:ilvl="0" w:tplc="FE76AC3C">
      <w:start w:val="1"/>
      <w:numFmt w:val="bullet"/>
      <w:lvlText w:val="⋅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sz w:val="24"/>
        <w:szCs w:val="24"/>
      </w:rPr>
    </w:lvl>
    <w:lvl w:ilvl="1" w:tplc="15D01F9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4EEADB10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 w:tplc="AF32B04E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 w:tplc="0BF2BE38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E0D03872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 w:tplc="BDA0256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 w:tplc="464E6EF2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A6F45D9C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587972E5"/>
    <w:multiLevelType w:val="hybridMultilevel"/>
    <w:tmpl w:val="1D84A3EC"/>
    <w:lvl w:ilvl="0" w:tplc="222695FC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4A6C9DC0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7E40EB6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5BC8084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016819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C9F688EC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A8A112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E85482D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B4AEE71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D0355E3"/>
    <w:multiLevelType w:val="hybridMultilevel"/>
    <w:tmpl w:val="379A8A0E"/>
    <w:lvl w:ilvl="0" w:tplc="BC9C2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0E454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BE5B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480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10D0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20D4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4A36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82A1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8A0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522461"/>
    <w:multiLevelType w:val="hybridMultilevel"/>
    <w:tmpl w:val="A1C221FE"/>
    <w:lvl w:ilvl="0" w:tplc="87E87098">
      <w:start w:val="1"/>
      <w:numFmt w:val="decimal"/>
      <w:lvlText w:val="%1."/>
      <w:lvlJc w:val="left"/>
      <w:pPr>
        <w:ind w:left="720" w:hanging="360"/>
      </w:pPr>
    </w:lvl>
    <w:lvl w:ilvl="1" w:tplc="FB92D76A">
      <w:start w:val="1"/>
      <w:numFmt w:val="lowerLetter"/>
      <w:lvlText w:val="%2."/>
      <w:lvlJc w:val="left"/>
      <w:pPr>
        <w:ind w:left="1440" w:hanging="360"/>
      </w:pPr>
    </w:lvl>
    <w:lvl w:ilvl="2" w:tplc="BBD44D2C">
      <w:start w:val="1"/>
      <w:numFmt w:val="lowerRoman"/>
      <w:lvlText w:val="%3."/>
      <w:lvlJc w:val="right"/>
      <w:pPr>
        <w:ind w:left="2160" w:hanging="180"/>
      </w:pPr>
    </w:lvl>
    <w:lvl w:ilvl="3" w:tplc="E81CFB16">
      <w:start w:val="1"/>
      <w:numFmt w:val="decimal"/>
      <w:lvlText w:val="%4."/>
      <w:lvlJc w:val="left"/>
      <w:pPr>
        <w:ind w:left="2880" w:hanging="360"/>
      </w:pPr>
    </w:lvl>
    <w:lvl w:ilvl="4" w:tplc="39144458">
      <w:start w:val="1"/>
      <w:numFmt w:val="lowerLetter"/>
      <w:lvlText w:val="%5."/>
      <w:lvlJc w:val="left"/>
      <w:pPr>
        <w:ind w:left="3600" w:hanging="360"/>
      </w:pPr>
    </w:lvl>
    <w:lvl w:ilvl="5" w:tplc="7368E496">
      <w:start w:val="1"/>
      <w:numFmt w:val="lowerRoman"/>
      <w:lvlText w:val="%6."/>
      <w:lvlJc w:val="right"/>
      <w:pPr>
        <w:ind w:left="4320" w:hanging="180"/>
      </w:pPr>
    </w:lvl>
    <w:lvl w:ilvl="6" w:tplc="EF7CFDFA">
      <w:start w:val="1"/>
      <w:numFmt w:val="decimal"/>
      <w:lvlText w:val="%7."/>
      <w:lvlJc w:val="left"/>
      <w:pPr>
        <w:ind w:left="5040" w:hanging="360"/>
      </w:pPr>
    </w:lvl>
    <w:lvl w:ilvl="7" w:tplc="0A20EBE0">
      <w:start w:val="1"/>
      <w:numFmt w:val="lowerLetter"/>
      <w:lvlText w:val="%8."/>
      <w:lvlJc w:val="left"/>
      <w:pPr>
        <w:ind w:left="5760" w:hanging="360"/>
      </w:pPr>
    </w:lvl>
    <w:lvl w:ilvl="8" w:tplc="75EEC21E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B0303D"/>
    <w:multiLevelType w:val="hybridMultilevel"/>
    <w:tmpl w:val="835A79DE"/>
    <w:lvl w:ilvl="0" w:tplc="A9687548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CC569228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9B742690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DC880ACA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4CC6BE72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AEA8D75C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728017F2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FDAA101A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21621EF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>
    <w:nsid w:val="74524246"/>
    <w:multiLevelType w:val="hybridMultilevel"/>
    <w:tmpl w:val="7570A5A8"/>
    <w:lvl w:ilvl="0" w:tplc="90360FC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5954610A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71CFFD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7256D1E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537AD15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D6AE833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1109D4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03A89EC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8F08CB7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46B6D7D"/>
    <w:multiLevelType w:val="hybridMultilevel"/>
    <w:tmpl w:val="5EEC03A4"/>
    <w:lvl w:ilvl="0" w:tplc="F384A1FA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8B90845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D77A0BF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796638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35249F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A5E4C76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702DA9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E1E4B9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596C01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774273FC"/>
    <w:multiLevelType w:val="hybridMultilevel"/>
    <w:tmpl w:val="B7D268D6"/>
    <w:lvl w:ilvl="0" w:tplc="45508586">
      <w:start w:val="1"/>
      <w:numFmt w:val="bullet"/>
      <w:lvlText w:val="●"/>
      <w:lvlJc w:val="left"/>
      <w:pPr>
        <w:ind w:left="1353" w:hanging="359"/>
      </w:pPr>
      <w:rPr>
        <w:rFonts w:ascii="Noto Sans Symbols" w:eastAsia="Noto Sans Symbols" w:hAnsi="Noto Sans Symbols" w:cs="Noto Sans Symbols"/>
      </w:rPr>
    </w:lvl>
    <w:lvl w:ilvl="1" w:tplc="FFEE04AE">
      <w:start w:val="1"/>
      <w:numFmt w:val="bullet"/>
      <w:lvlText w:val="•"/>
      <w:lvlJc w:val="left"/>
      <w:pPr>
        <w:ind w:left="2073" w:hanging="360"/>
      </w:pPr>
      <w:rPr>
        <w:rFonts w:ascii="Times New Roman" w:eastAsia="Times New Roman" w:hAnsi="Times New Roman" w:cs="Times New Roman"/>
      </w:rPr>
    </w:lvl>
    <w:lvl w:ilvl="2" w:tplc="FAA0722C">
      <w:start w:val="1"/>
      <w:numFmt w:val="bullet"/>
      <w:lvlText w:val="▪"/>
      <w:lvlJc w:val="left"/>
      <w:pPr>
        <w:ind w:left="2793" w:hanging="360"/>
      </w:pPr>
      <w:rPr>
        <w:rFonts w:ascii="Noto Sans Symbols" w:eastAsia="Noto Sans Symbols" w:hAnsi="Noto Sans Symbols" w:cs="Noto Sans Symbols"/>
      </w:rPr>
    </w:lvl>
    <w:lvl w:ilvl="3" w:tplc="70583E64">
      <w:start w:val="1"/>
      <w:numFmt w:val="bullet"/>
      <w:lvlText w:val="●"/>
      <w:lvlJc w:val="left"/>
      <w:pPr>
        <w:ind w:left="3513" w:hanging="360"/>
      </w:pPr>
      <w:rPr>
        <w:rFonts w:ascii="Noto Sans Symbols" w:eastAsia="Noto Sans Symbols" w:hAnsi="Noto Sans Symbols" w:cs="Noto Sans Symbols"/>
      </w:rPr>
    </w:lvl>
    <w:lvl w:ilvl="4" w:tplc="D07A74D6">
      <w:start w:val="1"/>
      <w:numFmt w:val="bullet"/>
      <w:lvlText w:val="o"/>
      <w:lvlJc w:val="left"/>
      <w:pPr>
        <w:ind w:left="4233" w:hanging="360"/>
      </w:pPr>
      <w:rPr>
        <w:rFonts w:ascii="Courier New" w:eastAsia="Courier New" w:hAnsi="Courier New" w:cs="Courier New"/>
      </w:rPr>
    </w:lvl>
    <w:lvl w:ilvl="5" w:tplc="B45EEC5E">
      <w:start w:val="1"/>
      <w:numFmt w:val="bullet"/>
      <w:lvlText w:val="▪"/>
      <w:lvlJc w:val="left"/>
      <w:pPr>
        <w:ind w:left="4953" w:hanging="360"/>
      </w:pPr>
      <w:rPr>
        <w:rFonts w:ascii="Noto Sans Symbols" w:eastAsia="Noto Sans Symbols" w:hAnsi="Noto Sans Symbols" w:cs="Noto Sans Symbols"/>
      </w:rPr>
    </w:lvl>
    <w:lvl w:ilvl="6" w:tplc="95DA76C8">
      <w:start w:val="1"/>
      <w:numFmt w:val="bullet"/>
      <w:lvlText w:val="●"/>
      <w:lvlJc w:val="left"/>
      <w:pPr>
        <w:ind w:left="5673" w:hanging="360"/>
      </w:pPr>
      <w:rPr>
        <w:rFonts w:ascii="Noto Sans Symbols" w:eastAsia="Noto Sans Symbols" w:hAnsi="Noto Sans Symbols" w:cs="Noto Sans Symbols"/>
      </w:rPr>
    </w:lvl>
    <w:lvl w:ilvl="7" w:tplc="5F6E54BC">
      <w:start w:val="1"/>
      <w:numFmt w:val="bullet"/>
      <w:lvlText w:val="o"/>
      <w:lvlJc w:val="left"/>
      <w:pPr>
        <w:ind w:left="6393" w:hanging="360"/>
      </w:pPr>
      <w:rPr>
        <w:rFonts w:ascii="Courier New" w:eastAsia="Courier New" w:hAnsi="Courier New" w:cs="Courier New"/>
      </w:rPr>
    </w:lvl>
    <w:lvl w:ilvl="8" w:tplc="499444AC">
      <w:start w:val="1"/>
      <w:numFmt w:val="bullet"/>
      <w:lvlText w:val="▪"/>
      <w:lvlJc w:val="left"/>
      <w:pPr>
        <w:ind w:left="7113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77D2725F"/>
    <w:multiLevelType w:val="hybridMultilevel"/>
    <w:tmpl w:val="D4EE33B4"/>
    <w:lvl w:ilvl="0" w:tplc="FE489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0C60C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F4BF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20E8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CE9A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3A29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04F3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66CB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6EC4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C23E0C"/>
    <w:multiLevelType w:val="hybridMultilevel"/>
    <w:tmpl w:val="1DDA7A74"/>
    <w:lvl w:ilvl="0" w:tplc="20AEF530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F73EC300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83086C6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FD62EA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5346C9A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B8260F1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382633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4F4CB7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DED08894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7FDF6A12"/>
    <w:multiLevelType w:val="hybridMultilevel"/>
    <w:tmpl w:val="3E76BD12"/>
    <w:lvl w:ilvl="0" w:tplc="CFB83D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BC24389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7EC244E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7EC7D8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B6AC3D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574EFEC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F5CBC0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924F2BA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8BD4C2C4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0"/>
  </w:num>
  <w:num w:numId="5">
    <w:abstractNumId w:val="7"/>
  </w:num>
  <w:num w:numId="6">
    <w:abstractNumId w:val="14"/>
  </w:num>
  <w:num w:numId="7">
    <w:abstractNumId w:val="11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6"/>
  </w:num>
  <w:num w:numId="12">
    <w:abstractNumId w:val="2"/>
  </w:num>
  <w:num w:numId="13">
    <w:abstractNumId w:val="6"/>
  </w:num>
  <w:num w:numId="14">
    <w:abstractNumId w:val="3"/>
  </w:num>
  <w:num w:numId="15">
    <w:abstractNumId w:val="8"/>
  </w:num>
  <w:num w:numId="16">
    <w:abstractNumId w:val="12"/>
  </w:num>
  <w:num w:numId="17">
    <w:abstractNumId w:val="13"/>
  </w:num>
  <w:num w:numId="18">
    <w:abstractNumId w:val="9"/>
  </w:num>
  <w:num w:numId="19">
    <w:abstractNumId w:val="4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6E96"/>
    <w:rsid w:val="00235780"/>
    <w:rsid w:val="0041515D"/>
    <w:rsid w:val="00590454"/>
    <w:rsid w:val="005F744A"/>
    <w:rsid w:val="009C2FF6"/>
    <w:rsid w:val="00E96E96"/>
    <w:rsid w:val="00F91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E96E96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E96E96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E96E96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E96E96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E96E96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E96E96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96E96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E96E96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96E96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Heading8"/>
    <w:uiPriority w:val="9"/>
    <w:rsid w:val="00E96E96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96E96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E96E96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sid w:val="00E96E96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sid w:val="00E96E9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E96E9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96E96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E96E9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E96E96"/>
    <w:rPr>
      <w:i/>
    </w:rPr>
  </w:style>
  <w:style w:type="character" w:customStyle="1" w:styleId="HeaderChar">
    <w:name w:val="Header Char"/>
    <w:basedOn w:val="a0"/>
    <w:link w:val="Header"/>
    <w:uiPriority w:val="99"/>
    <w:rsid w:val="00E96E96"/>
  </w:style>
  <w:style w:type="character" w:customStyle="1" w:styleId="FooterChar">
    <w:name w:val="Footer Char"/>
    <w:basedOn w:val="a0"/>
    <w:link w:val="Footer"/>
    <w:uiPriority w:val="99"/>
    <w:rsid w:val="00E96E96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E96E96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E96E96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E96E9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96E9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96E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96E9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96E9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96E9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96E9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96E9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96E9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96E9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96E9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96E9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96E9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96E9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96E9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96E9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96E9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96E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E96E96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E96E96"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sid w:val="00E96E96"/>
    <w:rPr>
      <w:sz w:val="20"/>
    </w:rPr>
  </w:style>
  <w:style w:type="character" w:styleId="ac">
    <w:name w:val="endnote reference"/>
    <w:basedOn w:val="a0"/>
    <w:uiPriority w:val="99"/>
    <w:semiHidden/>
    <w:unhideWhenUsed/>
    <w:rsid w:val="00E96E96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E96E96"/>
    <w:pPr>
      <w:spacing w:after="57"/>
    </w:pPr>
  </w:style>
  <w:style w:type="paragraph" w:styleId="21">
    <w:name w:val="toc 2"/>
    <w:basedOn w:val="a"/>
    <w:next w:val="a"/>
    <w:uiPriority w:val="39"/>
    <w:unhideWhenUsed/>
    <w:rsid w:val="00E96E9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E96E9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E96E9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96E9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96E9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96E9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96E9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96E96"/>
    <w:pPr>
      <w:spacing w:after="57"/>
      <w:ind w:left="2268"/>
    </w:pPr>
  </w:style>
  <w:style w:type="paragraph" w:styleId="ad">
    <w:name w:val="TOC Heading"/>
    <w:uiPriority w:val="39"/>
    <w:unhideWhenUsed/>
    <w:rsid w:val="00E96E96"/>
  </w:style>
  <w:style w:type="paragraph" w:styleId="ae">
    <w:name w:val="table of figures"/>
    <w:basedOn w:val="a"/>
    <w:next w:val="a"/>
    <w:uiPriority w:val="99"/>
    <w:unhideWhenUsed/>
    <w:rsid w:val="00E96E96"/>
    <w:pPr>
      <w:spacing w:after="0"/>
    </w:pPr>
  </w:style>
  <w:style w:type="paragraph" w:customStyle="1" w:styleId="Heading1">
    <w:name w:val="Heading 1"/>
    <w:basedOn w:val="a"/>
    <w:next w:val="a"/>
    <w:link w:val="10"/>
    <w:qFormat/>
    <w:rsid w:val="00E96E96"/>
    <w:pPr>
      <w:keepNext/>
      <w:keepLines/>
      <w:pageBreakBefore/>
      <w:numPr>
        <w:numId w:val="7"/>
      </w:numPr>
      <w:spacing w:before="480" w:after="24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Heading2">
    <w:name w:val="Heading 2"/>
    <w:basedOn w:val="a"/>
    <w:next w:val="a"/>
    <w:link w:val="22"/>
    <w:qFormat/>
    <w:rsid w:val="00E96E96"/>
    <w:pPr>
      <w:keepNext/>
      <w:numPr>
        <w:ilvl w:val="1"/>
        <w:numId w:val="7"/>
      </w:numPr>
      <w:spacing w:before="360" w:after="12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Heading3">
    <w:name w:val="Heading 3"/>
    <w:basedOn w:val="a"/>
    <w:next w:val="a"/>
    <w:link w:val="30"/>
    <w:qFormat/>
    <w:rsid w:val="00E96E96"/>
    <w:pPr>
      <w:keepNext/>
      <w:numPr>
        <w:ilvl w:val="2"/>
        <w:numId w:val="8"/>
      </w:numPr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Heading4">
    <w:name w:val="Heading 4"/>
    <w:basedOn w:val="a"/>
    <w:next w:val="a"/>
    <w:link w:val="40"/>
    <w:qFormat/>
    <w:rsid w:val="00E96E96"/>
    <w:pPr>
      <w:keepNext/>
      <w:numPr>
        <w:ilvl w:val="3"/>
        <w:numId w:val="8"/>
      </w:numPr>
      <w:tabs>
        <w:tab w:val="left" w:pos="1134"/>
      </w:tabs>
      <w:spacing w:before="240" w:after="120" w:line="240" w:lineRule="auto"/>
      <w:jc w:val="both"/>
      <w:outlineLvl w:val="3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customStyle="1" w:styleId="Heading5">
    <w:name w:val="Heading 5"/>
    <w:basedOn w:val="a"/>
    <w:next w:val="a"/>
    <w:link w:val="Heading5Char"/>
    <w:rsid w:val="00E96E96"/>
    <w:pPr>
      <w:keepNext/>
      <w:keepLines/>
      <w:spacing w:before="220" w:after="40"/>
      <w:outlineLvl w:val="4"/>
    </w:pPr>
    <w:rPr>
      <w:b/>
    </w:rPr>
  </w:style>
  <w:style w:type="paragraph" w:customStyle="1" w:styleId="Heading6">
    <w:name w:val="Heading 6"/>
    <w:basedOn w:val="a"/>
    <w:next w:val="a"/>
    <w:link w:val="Heading6Char"/>
    <w:rsid w:val="00E96E96"/>
    <w:pPr>
      <w:keepNext/>
      <w:keepLines/>
      <w:spacing w:before="200" w:after="40"/>
      <w:outlineLvl w:val="5"/>
    </w:pPr>
    <w:rPr>
      <w:b/>
      <w:sz w:val="20"/>
      <w:szCs w:val="20"/>
    </w:rPr>
  </w:style>
  <w:style w:type="table" w:customStyle="1" w:styleId="TableNormal">
    <w:name w:val="Table Normal"/>
    <w:rsid w:val="00E96E9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link w:val="a3"/>
    <w:rsid w:val="00E96E96"/>
    <w:pPr>
      <w:keepNext/>
      <w:keepLines/>
      <w:spacing w:before="480" w:after="120"/>
    </w:pPr>
    <w:rPr>
      <w:b/>
      <w:sz w:val="72"/>
      <w:szCs w:val="72"/>
    </w:rPr>
  </w:style>
  <w:style w:type="character" w:styleId="af">
    <w:name w:val="footnote reference"/>
    <w:uiPriority w:val="99"/>
    <w:rsid w:val="00E96E96"/>
    <w:rPr>
      <w:vertAlign w:val="superscript"/>
    </w:rPr>
  </w:style>
  <w:style w:type="paragraph" w:styleId="a9">
    <w:name w:val="footnote text"/>
    <w:basedOn w:val="a"/>
    <w:link w:val="af0"/>
    <w:uiPriority w:val="99"/>
    <w:rsid w:val="00E96E9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сноски Знак"/>
    <w:basedOn w:val="a0"/>
    <w:link w:val="a9"/>
    <w:uiPriority w:val="99"/>
    <w:rsid w:val="00E96E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List Paragraph"/>
    <w:basedOn w:val="a"/>
    <w:link w:val="af2"/>
    <w:uiPriority w:val="34"/>
    <w:qFormat/>
    <w:rsid w:val="00E96E96"/>
    <w:pPr>
      <w:ind w:left="720"/>
      <w:contextualSpacing/>
    </w:pPr>
  </w:style>
  <w:style w:type="paragraph" w:styleId="31">
    <w:name w:val="Body Text 3"/>
    <w:basedOn w:val="a"/>
    <w:link w:val="32"/>
    <w:uiPriority w:val="99"/>
    <w:rsid w:val="00E96E96"/>
    <w:pPr>
      <w:tabs>
        <w:tab w:val="left" w:pos="5103"/>
      </w:tabs>
      <w:spacing w:after="0" w:line="240" w:lineRule="auto"/>
      <w:ind w:right="-1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uiPriority w:val="99"/>
    <w:rsid w:val="00E96E96"/>
    <w:rPr>
      <w:rFonts w:ascii="Times New Roman" w:eastAsia="Times New Roman" w:hAnsi="Times New Roman" w:cs="Times New Roman"/>
      <w:sz w:val="24"/>
      <w:szCs w:val="20"/>
    </w:rPr>
  </w:style>
  <w:style w:type="paragraph" w:styleId="af3">
    <w:name w:val="Body Text"/>
    <w:basedOn w:val="a"/>
    <w:link w:val="af4"/>
    <w:uiPriority w:val="99"/>
    <w:unhideWhenUsed/>
    <w:rsid w:val="00E96E96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rsid w:val="00E96E96"/>
  </w:style>
  <w:style w:type="paragraph" w:customStyle="1" w:styleId="Header">
    <w:name w:val="Header"/>
    <w:basedOn w:val="a"/>
    <w:link w:val="af5"/>
    <w:uiPriority w:val="99"/>
    <w:unhideWhenUsed/>
    <w:rsid w:val="00E96E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Header"/>
    <w:uiPriority w:val="99"/>
    <w:rsid w:val="00E96E96"/>
  </w:style>
  <w:style w:type="paragraph" w:customStyle="1" w:styleId="Footer">
    <w:name w:val="Footer"/>
    <w:basedOn w:val="a"/>
    <w:link w:val="af6"/>
    <w:uiPriority w:val="99"/>
    <w:unhideWhenUsed/>
    <w:rsid w:val="00E96E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Footer"/>
    <w:uiPriority w:val="99"/>
    <w:rsid w:val="00E96E96"/>
  </w:style>
  <w:style w:type="paragraph" w:styleId="af7">
    <w:name w:val="Balloon Text"/>
    <w:basedOn w:val="a"/>
    <w:link w:val="af8"/>
    <w:uiPriority w:val="99"/>
    <w:semiHidden/>
    <w:unhideWhenUsed/>
    <w:rsid w:val="00E96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E96E9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Heading1"/>
    <w:rsid w:val="00E96E9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Заголовок 2 Знак"/>
    <w:basedOn w:val="a0"/>
    <w:link w:val="Heading2"/>
    <w:rsid w:val="00E96E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Heading3"/>
    <w:rsid w:val="00E96E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Heading4"/>
    <w:rsid w:val="00E96E96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af9">
    <w:name w:val="Пункт"/>
    <w:basedOn w:val="a"/>
    <w:rsid w:val="00E96E96"/>
    <w:pPr>
      <w:tabs>
        <w:tab w:val="num" w:pos="2160"/>
      </w:tabs>
      <w:spacing w:after="0" w:line="360" w:lineRule="auto"/>
      <w:ind w:left="2160" w:hanging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a">
    <w:name w:val="Подпункт"/>
    <w:basedOn w:val="af9"/>
    <w:rsid w:val="00E96E96"/>
    <w:pPr>
      <w:numPr>
        <w:ilvl w:val="3"/>
      </w:numPr>
      <w:tabs>
        <w:tab w:val="num" w:pos="2160"/>
      </w:tabs>
      <w:ind w:left="2160" w:hanging="720"/>
    </w:pPr>
  </w:style>
  <w:style w:type="character" w:styleId="afb">
    <w:name w:val="annotation reference"/>
    <w:basedOn w:val="a0"/>
    <w:unhideWhenUsed/>
    <w:rsid w:val="00E96E96"/>
    <w:rPr>
      <w:sz w:val="16"/>
      <w:szCs w:val="16"/>
    </w:rPr>
  </w:style>
  <w:style w:type="paragraph" w:styleId="afc">
    <w:name w:val="annotation text"/>
    <w:basedOn w:val="a"/>
    <w:link w:val="afd"/>
    <w:semiHidden/>
    <w:unhideWhenUsed/>
    <w:rsid w:val="00E96E96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semiHidden/>
    <w:rsid w:val="00E96E96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E96E96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E96E96"/>
    <w:rPr>
      <w:b/>
      <w:bCs/>
      <w:sz w:val="20"/>
      <w:szCs w:val="20"/>
    </w:rPr>
  </w:style>
  <w:style w:type="character" w:styleId="aff0">
    <w:name w:val="Hyperlink"/>
    <w:rsid w:val="00E96E96"/>
    <w:rPr>
      <w:color w:val="0563C1"/>
      <w:u w:val="single"/>
    </w:rPr>
  </w:style>
  <w:style w:type="paragraph" w:styleId="aff1">
    <w:name w:val="Revision"/>
    <w:hidden/>
    <w:uiPriority w:val="99"/>
    <w:semiHidden/>
    <w:rsid w:val="00E96E96"/>
    <w:pPr>
      <w:spacing w:after="0" w:line="240" w:lineRule="auto"/>
    </w:pPr>
  </w:style>
  <w:style w:type="paragraph" w:customStyle="1" w:styleId="ConsPlusNormal">
    <w:name w:val="ConsPlusNormal"/>
    <w:rsid w:val="00E96E96"/>
    <w:pPr>
      <w:widowControl w:val="0"/>
      <w:spacing w:after="0" w:line="240" w:lineRule="auto"/>
    </w:pPr>
    <w:rPr>
      <w:rFonts w:eastAsia="Times New Roman"/>
      <w:szCs w:val="20"/>
    </w:rPr>
  </w:style>
  <w:style w:type="paragraph" w:styleId="23">
    <w:name w:val="Body Text Indent 2"/>
    <w:basedOn w:val="a"/>
    <w:link w:val="24"/>
    <w:uiPriority w:val="99"/>
    <w:semiHidden/>
    <w:unhideWhenUsed/>
    <w:rsid w:val="00E96E9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96E96"/>
  </w:style>
  <w:style w:type="paragraph" w:customStyle="1" w:styleId="11">
    <w:name w:val="Абзац списка1"/>
    <w:basedOn w:val="a"/>
    <w:uiPriority w:val="34"/>
    <w:qFormat/>
    <w:rsid w:val="00E96E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f2">
    <w:name w:val="No Spacing"/>
    <w:uiPriority w:val="1"/>
    <w:qFormat/>
    <w:rsid w:val="00E96E96"/>
    <w:pPr>
      <w:spacing w:after="0" w:line="240" w:lineRule="auto"/>
    </w:pPr>
  </w:style>
  <w:style w:type="paragraph" w:customStyle="1" w:styleId="ListParagraph1">
    <w:name w:val="List Paragraph1"/>
    <w:basedOn w:val="a"/>
    <w:uiPriority w:val="34"/>
    <w:qFormat/>
    <w:rsid w:val="00E96E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">
    <w:name w:val="Пункт2"/>
    <w:basedOn w:val="af9"/>
    <w:rsid w:val="00E96E96"/>
    <w:pPr>
      <w:keepNext/>
      <w:tabs>
        <w:tab w:val="clear" w:pos="2160"/>
        <w:tab w:val="num" w:pos="720"/>
      </w:tabs>
      <w:spacing w:before="240" w:after="120" w:line="240" w:lineRule="auto"/>
      <w:ind w:left="720"/>
      <w:jc w:val="left"/>
      <w:outlineLvl w:val="2"/>
    </w:pPr>
    <w:rPr>
      <w:b/>
    </w:rPr>
  </w:style>
  <w:style w:type="character" w:customStyle="1" w:styleId="af2">
    <w:name w:val="Абзац списка Знак"/>
    <w:basedOn w:val="a0"/>
    <w:link w:val="af1"/>
    <w:uiPriority w:val="34"/>
    <w:rsid w:val="00E96E96"/>
  </w:style>
  <w:style w:type="paragraph" w:styleId="aff3">
    <w:name w:val="Normal (Web)"/>
    <w:basedOn w:val="a"/>
    <w:uiPriority w:val="99"/>
    <w:semiHidden/>
    <w:unhideWhenUsed/>
    <w:rsid w:val="00E96E9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12">
    <w:name w:val="Сетка таблицы1"/>
    <w:basedOn w:val="a1"/>
    <w:next w:val="aff4"/>
    <w:uiPriority w:val="59"/>
    <w:rsid w:val="00E96E96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1"/>
    <w:uiPriority w:val="59"/>
    <w:rsid w:val="00E96E9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a5"/>
    <w:rsid w:val="00E96E9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rsid w:val="00E96E9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Gen1">
    <w:name w:val="StGen1"/>
    <w:basedOn w:val="TableNormal"/>
    <w:rsid w:val="00E96E9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Gen2">
    <w:name w:val="StGen2"/>
    <w:basedOn w:val="TableNormal"/>
    <w:rsid w:val="00E96E9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Gen3">
    <w:name w:val="StGen3"/>
    <w:basedOn w:val="TableNormal"/>
    <w:rsid w:val="00E96E9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Gen4">
    <w:name w:val="StGen4"/>
    <w:basedOn w:val="TableNormal"/>
    <w:rsid w:val="00E96E9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Gen5">
    <w:name w:val="StGen5"/>
    <w:basedOn w:val="TableNormal"/>
    <w:rsid w:val="00E96E96"/>
    <w:tblPr>
      <w:tblStyleRowBandSize w:val="1"/>
      <w:tblStyleColBandSize w:val="1"/>
      <w:tblCellMar>
        <w:top w:w="0" w:type="dxa"/>
        <w:left w:w="0" w:type="dxa"/>
        <w:bottom w:w="0" w:type="dxa"/>
        <w:right w:w="115" w:type="dxa"/>
      </w:tblCellMar>
    </w:tblPr>
  </w:style>
  <w:style w:type="table" w:customStyle="1" w:styleId="StGen6">
    <w:name w:val="StGen6"/>
    <w:basedOn w:val="TableNormal"/>
    <w:rsid w:val="00E96E9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Gen7">
    <w:name w:val="StGen7"/>
    <w:basedOn w:val="TableNormal"/>
    <w:rsid w:val="00E96E9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Gen8">
    <w:name w:val="StGen8"/>
    <w:basedOn w:val="TableNormal"/>
    <w:rsid w:val="00E96E9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Gen9">
    <w:name w:val="StGen9"/>
    <w:basedOn w:val="TableNormal"/>
    <w:rsid w:val="00E96E9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Gen10">
    <w:name w:val="StGen10"/>
    <w:basedOn w:val="TableNormal"/>
    <w:rsid w:val="00E96E9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11">
    <w:name w:val="StGen11"/>
    <w:basedOn w:val="TableNormal"/>
    <w:rsid w:val="00E96E9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Gen12">
    <w:name w:val="StGen12"/>
    <w:basedOn w:val="TableNormal"/>
    <w:rsid w:val="00E96E9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Gen13">
    <w:name w:val="StGen13"/>
    <w:basedOn w:val="TableNormal"/>
    <w:rsid w:val="00E96E96"/>
    <w:tblPr>
      <w:tblStyleRowBandSize w:val="1"/>
      <w:tblStyleColBandSize w:val="1"/>
      <w:tblCellMar>
        <w:top w:w="0" w:type="dxa"/>
        <w:left w:w="0" w:type="dxa"/>
        <w:bottom w:w="0" w:type="dxa"/>
        <w:right w:w="115" w:type="dxa"/>
      </w:tblCellMar>
    </w:tblPr>
  </w:style>
  <w:style w:type="table" w:customStyle="1" w:styleId="StGen14">
    <w:name w:val="StGen14"/>
    <w:basedOn w:val="TableNormal"/>
    <w:rsid w:val="00E96E9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f5">
    <w:name w:val="Plain Text"/>
    <w:basedOn w:val="a"/>
    <w:link w:val="aff6"/>
    <w:uiPriority w:val="99"/>
    <w:semiHidden/>
    <w:unhideWhenUsed/>
    <w:rsid w:val="00E96E96"/>
    <w:pPr>
      <w:spacing w:after="0" w:line="240" w:lineRule="auto"/>
    </w:pPr>
    <w:rPr>
      <w:rFonts w:eastAsiaTheme="minorHAnsi" w:cstheme="minorBidi"/>
      <w:szCs w:val="21"/>
      <w:lang w:eastAsia="en-US"/>
    </w:rPr>
  </w:style>
  <w:style w:type="character" w:customStyle="1" w:styleId="aff6">
    <w:name w:val="Текст Знак"/>
    <w:basedOn w:val="a0"/>
    <w:link w:val="aff5"/>
    <w:uiPriority w:val="99"/>
    <w:semiHidden/>
    <w:rsid w:val="00E96E96"/>
    <w:rPr>
      <w:rFonts w:eastAsiaTheme="minorHAnsi" w:cstheme="minorBidi"/>
      <w:szCs w:val="21"/>
      <w:lang w:eastAsia="en-US"/>
    </w:rPr>
  </w:style>
  <w:style w:type="character" w:styleId="aff7">
    <w:name w:val="Emphasis"/>
    <w:basedOn w:val="a0"/>
    <w:uiPriority w:val="20"/>
    <w:qFormat/>
    <w:rsid w:val="00E96E9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eminar2@educenter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6@educenter.ru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vFSt40kvy2aTnyVkd3QjR4TQLw==">CgMxLjAyCGguZ2pkZ3hzOAByITE0NzVmZ3BWYldsZFVLLU03eTQtcW5zSnFQbk5NYmxkLQ==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37E9F22-A1F7-4565-9389-0467DF14D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4104</Words>
  <Characters>23395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</cp:lastModifiedBy>
  <cp:revision>6</cp:revision>
  <dcterms:created xsi:type="dcterms:W3CDTF">2026-01-28T14:41:00Z</dcterms:created>
  <dcterms:modified xsi:type="dcterms:W3CDTF">2026-02-09T11:30:00Z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siderPost">
    <vt:lpwstr>Секретарь</vt:lpwstr>
  </property>
  <property fmtid="{D5CDD505-2E9C-101B-9397-08002B2CF9AE}" pid="3" name="serviceNoteAuthor">
    <vt:lpwstr>Юханова Т.А.</vt:lpwstr>
  </property>
  <property fmtid="{D5CDD505-2E9C-101B-9397-08002B2CF9AE}" pid="4" name="signerIof">
    <vt:lpwstr>Т.А. Юханова</vt:lpwstr>
  </property>
  <property fmtid="{D5CDD505-2E9C-101B-9397-08002B2CF9AE}" pid="5" name="creatorDepartment">
    <vt:lpwstr>учебный отдел</vt:lpwstr>
  </property>
  <property fmtid="{D5CDD505-2E9C-101B-9397-08002B2CF9AE}" pid="6" name="documentType">
    <vt:lpwstr>Согласование проектов договоров</vt:lpwstr>
  </property>
  <property fmtid="{D5CDD505-2E9C-101B-9397-08002B2CF9AE}" pid="7" name="stateValue">
    <vt:lpwstr>Новый</vt:lpwstr>
  </property>
  <property fmtid="{D5CDD505-2E9C-101B-9397-08002B2CF9AE}" pid="8" name="docTitle">
    <vt:lpwstr>Служебная записка</vt:lpwstr>
  </property>
  <property fmtid="{D5CDD505-2E9C-101B-9397-08002B2CF9AE}" pid="9" name="signerLabel">
    <vt:lpwstr>Специалист по учебно-методической работе Юханова Т.А.</vt:lpwstr>
  </property>
  <property fmtid="{D5CDD505-2E9C-101B-9397-08002B2CF9AE}" pid="10" name="creatorPost">
    <vt:lpwstr>Специалист по учебно-методической работе</vt:lpwstr>
  </property>
  <property fmtid="{D5CDD505-2E9C-101B-9397-08002B2CF9AE}" pid="11" name="signerName">
    <vt:lpwstr>Юханова Т.А.</vt:lpwstr>
  </property>
  <property fmtid="{D5CDD505-2E9C-101B-9397-08002B2CF9AE}" pid="12" name="signerNameAndPostName">
    <vt:lpwstr>Юханова Т.А., Специалист по учебно-методической работе</vt:lpwstr>
  </property>
  <property fmtid="{D5CDD505-2E9C-101B-9397-08002B2CF9AE}" pid="13" name="timeToExamine">
    <vt:lpwstr>16</vt:lpwstr>
  </property>
  <property fmtid="{D5CDD505-2E9C-101B-9397-08002B2CF9AE}" pid="14" name="docStatus">
    <vt:lpwstr>NOT_CONTROLLED</vt:lpwstr>
  </property>
  <property fmtid="{D5CDD505-2E9C-101B-9397-08002B2CF9AE}" pid="15" name="signerExtraDelegates">
    <vt:lpwstr>Специалист по учебно-методической работе</vt:lpwstr>
  </property>
  <property fmtid="{D5CDD505-2E9C-101B-9397-08002B2CF9AE}" pid="16" name="consider">
    <vt:lpwstr>Секретарь Дубровина Е.М.</vt:lpwstr>
  </property>
  <property fmtid="{D5CDD505-2E9C-101B-9397-08002B2CF9AE}" pid="17" name="considerName">
    <vt:lpwstr>Дубровина Е.М.</vt:lpwstr>
  </property>
  <property fmtid="{D5CDD505-2E9C-101B-9397-08002B2CF9AE}" pid="18" name="signerDelegates">
    <vt:lpwstr>Юханова Т.А.</vt:lpwstr>
  </property>
  <property fmtid="{D5CDD505-2E9C-101B-9397-08002B2CF9AE}" pid="19" name="creator">
    <vt:lpwstr>Т.А. Юханова</vt:lpwstr>
  </property>
  <property fmtid="{D5CDD505-2E9C-101B-9397-08002B2CF9AE}" pid="20" name="considerDepartment">
    <vt:lpwstr>Правовое управление</vt:lpwstr>
  </property>
  <property fmtid="{D5CDD505-2E9C-101B-9397-08002B2CF9AE}" pid="21" name="considerIof">
    <vt:lpwstr>Е.М. Дубровина</vt:lpwstr>
  </property>
  <property fmtid="{D5CDD505-2E9C-101B-9397-08002B2CF9AE}" pid="22" name="regnumProj">
    <vt:lpwstr>М 2020/10/16-48</vt:lpwstr>
  </property>
  <property fmtid="{D5CDD505-2E9C-101B-9397-08002B2CF9AE}" pid="23" name="documentContent">
    <vt:lpwstr>Корпоративная программа реализуется в рамках договора с Центральным банком Российской Федерации (Банк России)</vt:lpwstr>
  </property>
  <property fmtid="{D5CDD505-2E9C-101B-9397-08002B2CF9AE}" pid="24" name="serviceNoteAuthorPost">
    <vt:lpwstr>Специалист по учебно-методической работе</vt:lpwstr>
  </property>
  <property fmtid="{D5CDD505-2E9C-101B-9397-08002B2CF9AE}" pid="25" name="signerPost">
    <vt:lpwstr>Специалист по учебно-методической работе</vt:lpwstr>
  </property>
  <property fmtid="{D5CDD505-2E9C-101B-9397-08002B2CF9AE}" pid="26" name="documentSubtype">
    <vt:lpwstr>Дoгoвopы c poccийскими контрагентами (кроме научных, международных и о распоряжении интеллектуальными правами)</vt:lpwstr>
  </property>
  <property fmtid="{D5CDD505-2E9C-101B-9397-08002B2CF9AE}" pid="27" name="mainDocSheetsCount">
    <vt:lpwstr>1</vt:lpwstr>
  </property>
  <property fmtid="{D5CDD505-2E9C-101B-9397-08002B2CF9AE}" pid="28" name="controlLabel">
    <vt:lpwstr>не осуществляется</vt:lpwstr>
  </property>
</Properties>
</file>