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C51" w:rsidRDefault="00042DEB">
      <w:pPr>
        <w:ind w:left="-567"/>
        <w:jc w:val="center"/>
        <w:rPr>
          <w:rFonts w:ascii="Times New Roman" w:hAnsi="Times New Roman" w:cs="Times New Roman"/>
        </w:rPr>
      </w:pPr>
      <w:r w:rsidRPr="00042DEB">
        <w:rPr>
          <w:rFonts w:ascii="Times New Roman" w:hAnsi="Times New Roman" w:cs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042DEB">
        <w:rPr>
          <w:rFonts w:ascii="Times New Roman" w:hAnsi="Times New Roman" w:cs="Times New Roman"/>
        </w:rPr>
        <w:pict>
          <v:shape id="_x0000_i0" o:spid="_x0000_i1025" type="#_x0000_t75" style="width:467.1pt;height:47.55pt;mso-wrap-distance-left:0;mso-wrap-distance-top:0;mso-wrap-distance-right:0;mso-wrap-distance-bottom:0">
            <v:imagedata r:id="rId8" o:title=""/>
            <v:path textboxrect="0,0,0,0"/>
          </v:shape>
        </w:pict>
      </w:r>
    </w:p>
    <w:p w:rsidR="00FF1C51" w:rsidRDefault="00FF1C51">
      <w:pPr>
        <w:ind w:left="-567"/>
        <w:jc w:val="center"/>
        <w:rPr>
          <w:rFonts w:ascii="Times New Roman" w:hAnsi="Times New Roman" w:cs="Times New Roman"/>
        </w:rPr>
      </w:pPr>
    </w:p>
    <w:p w:rsidR="00042DEB" w:rsidRDefault="00CE4F78">
      <w:p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Практический семинар</w:t>
      </w:r>
    </w:p>
    <w:p w:rsidR="00042DEB" w:rsidRDefault="00CE4F78">
      <w:p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«Актуальные вопросы финансово-экономической деятельности организаций госсектора и практика</w:t>
      </w:r>
      <w:r w:rsidR="00FF1C5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контроля,</w:t>
      </w:r>
      <w:r w:rsidR="00FF1C5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перспективы на 2027 год»</w:t>
      </w:r>
    </w:p>
    <w:p w:rsidR="00042DEB" w:rsidRDefault="00CE4F7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Институт МФЦ</w:t>
      </w:r>
      <w:r w:rsidR="00FF1C51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приглашает</w:t>
      </w:r>
      <w:r w:rsidR="00FF1C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Вас принять участие в </w:t>
      </w:r>
      <w:r>
        <w:rPr>
          <w:rFonts w:ascii="Times New Roman" w:hAnsi="Times New Roman" w:cs="Times New Roman"/>
          <w:bCs/>
          <w:iCs/>
          <w:sz w:val="24"/>
          <w:szCs w:val="24"/>
        </w:rPr>
        <w:t>семинаре по теме: «</w:t>
      </w:r>
      <w:r>
        <w:rPr>
          <w:rFonts w:ascii="Times New Roman" w:hAnsi="Times New Roman" w:cs="Times New Roman"/>
          <w:b/>
          <w:bCs/>
          <w:sz w:val="24"/>
          <w:szCs w:val="24"/>
        </w:rPr>
        <w:t>Актуальные вопросы финансово-экономической деятельности организаций госсектора и перспективы на 2027 год»</w:t>
      </w:r>
      <w:r w:rsidR="00FF1C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F1C51">
        <w:rPr>
          <w:rFonts w:ascii="Times New Roman" w:hAnsi="Times New Roman" w:cs="Times New Roman"/>
          <w:bCs/>
          <w:iCs/>
          <w:sz w:val="24"/>
          <w:szCs w:val="24"/>
        </w:rPr>
        <w:t>в г. Москве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Обучение пройдет в дневном очном формате с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10:00</w:t>
      </w:r>
      <w:r w:rsidR="00FF1C5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до 17.00 по местному времени.</w:t>
      </w:r>
      <w:r w:rsidR="00FF1C5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Возможно участие онлайн.</w:t>
      </w:r>
    </w:p>
    <w:p w:rsidR="00042DEB" w:rsidRDefault="00CE4F7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рамках этой темы рассмотрим практи</w:t>
      </w:r>
      <w:r>
        <w:rPr>
          <w:rFonts w:ascii="Times New Roman" w:hAnsi="Times New Roman" w:cs="Times New Roman"/>
          <w:sz w:val="24"/>
          <w:szCs w:val="24"/>
        </w:rPr>
        <w:t>ческие вопросы и основные изменения по следующим темам:</w:t>
      </w:r>
    </w:p>
    <w:p w:rsidR="00042DEB" w:rsidRDefault="00CE4F78">
      <w:pPr>
        <w:pStyle w:val="af2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Планирование, финансирование, закупки, платная деятельность в учреждениях</w:t>
      </w:r>
    </w:p>
    <w:p w:rsidR="00042DEB" w:rsidRDefault="00CE4F78">
      <w:pPr>
        <w:pStyle w:val="af2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Актуальные вопросы практики контроля в госсекторе и другие вопросы</w:t>
      </w:r>
    </w:p>
    <w:p w:rsidR="00042DEB" w:rsidRDefault="00042DEB">
      <w:pPr>
        <w:spacing w:after="0" w:line="240" w:lineRule="auto"/>
        <w:ind w:left="-567"/>
        <w:jc w:val="both"/>
        <w:rPr>
          <w:rFonts w:ascii="Times New Roman" w:hAnsi="Times New Roman" w:cs="Times New Roman"/>
        </w:rPr>
      </w:pPr>
    </w:p>
    <w:p w:rsidR="00042DEB" w:rsidRDefault="00CE4F78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ПРОГРАММА</w:t>
      </w:r>
    </w:p>
    <w:p w:rsidR="00042DEB" w:rsidRDefault="00042DEB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bCs/>
        </w:rPr>
      </w:pPr>
    </w:p>
    <w:p w:rsidR="00042DEB" w:rsidRDefault="00CE4F78">
      <w:pPr>
        <w:pStyle w:val="af2"/>
        <w:numPr>
          <w:ilvl w:val="0"/>
          <w:numId w:val="2"/>
        </w:numPr>
        <w:tabs>
          <w:tab w:val="clear" w:pos="644"/>
        </w:tabs>
        <w:spacing w:after="0" w:line="240" w:lineRule="auto"/>
        <w:ind w:left="-142" w:hanging="425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Финансовое планирование в бюджетной организации. </w:t>
      </w:r>
      <w:r>
        <w:rPr>
          <w:rFonts w:ascii="Times New Roman" w:hAnsi="Times New Roman" w:cs="Times New Roman"/>
          <w:sz w:val="24"/>
          <w:szCs w:val="24"/>
        </w:rPr>
        <w:t>Формирование планово-учетной и отчетной информации о финансово-хозяйственной деятельности бюджетной организации.</w:t>
      </w:r>
    </w:p>
    <w:p w:rsidR="00042DEB" w:rsidRDefault="00CE4F78">
      <w:pPr>
        <w:numPr>
          <w:ilvl w:val="0"/>
          <w:numId w:val="2"/>
        </w:numPr>
        <w:tabs>
          <w:tab w:val="clear" w:pos="644"/>
          <w:tab w:val="num" w:pos="-142"/>
        </w:tabs>
        <w:spacing w:after="0" w:line="240" w:lineRule="auto"/>
        <w:ind w:left="-142" w:hanging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К</w:t>
      </w:r>
      <w:r>
        <w:rPr>
          <w:rFonts w:ascii="Times New Roman" w:hAnsi="Times New Roman" w:cs="Times New Roman"/>
          <w:b/>
          <w:bCs/>
          <w:sz w:val="24"/>
          <w:szCs w:val="24"/>
        </w:rPr>
        <w:t>лючевые изменениями в финансово-бюджетной политике в 2027</w:t>
      </w:r>
      <w:r w:rsidR="00FF1C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гг.</w:t>
      </w:r>
    </w:p>
    <w:p w:rsidR="00042DEB" w:rsidRDefault="00CE4F78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Повышение ответственности за пла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нирование.</w:t>
      </w:r>
    </w:p>
    <w:p w:rsidR="00042DEB" w:rsidRDefault="00CE4F78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Новые документы для планирования и финансирования. </w:t>
      </w:r>
    </w:p>
    <w:p w:rsidR="00042DEB" w:rsidRDefault="00CE4F78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Методология бюджетного планирования 2026–2027</w:t>
      </w:r>
      <w:r w:rsidR="00FF1C5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гг. </w:t>
      </w:r>
    </w:p>
    <w:p w:rsidR="00042DEB" w:rsidRDefault="00CE4F78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Какие положения должны проверять контрольные органы и КСО.</w:t>
      </w:r>
    </w:p>
    <w:p w:rsidR="00042DEB" w:rsidRDefault="00CE4F78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Методические рекомендации для проверок.</w:t>
      </w:r>
    </w:p>
    <w:p w:rsidR="00042DEB" w:rsidRDefault="00CE4F78">
      <w:pPr>
        <w:numPr>
          <w:ilvl w:val="0"/>
          <w:numId w:val="2"/>
        </w:numPr>
        <w:tabs>
          <w:tab w:val="clear" w:pos="644"/>
          <w:tab w:val="num" w:pos="-142"/>
        </w:tabs>
        <w:spacing w:after="0" w:line="240" w:lineRule="auto"/>
        <w:ind w:left="-142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Бюджетное планирование и прогнозирование расходов Планирование в ГИИС ЭБ.</w:t>
      </w:r>
    </w:p>
    <w:p w:rsidR="00042DEB" w:rsidRDefault="00CE4F78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Изменения в бюджетной классификации 2026-2027</w:t>
      </w:r>
      <w:r w:rsidR="00FF1C5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гг.</w:t>
      </w:r>
    </w:p>
    <w:p w:rsidR="00042DEB" w:rsidRDefault="00CE4F78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Формирование расходной части бюджета.</w:t>
      </w:r>
    </w:p>
    <w:p w:rsidR="00042DEB" w:rsidRDefault="00CE4F78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Реестр расходных обязательств, бюджетные ассигнования, определение объема финансирования расход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ов из бюджета.</w:t>
      </w:r>
    </w:p>
    <w:p w:rsidR="00042DEB" w:rsidRDefault="00CE4F78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На что обратить внимание при составлении и проверке сметы и плана ФХД.</w:t>
      </w:r>
      <w:r w:rsidR="00FF1C5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Как вносить изменения.</w:t>
      </w:r>
    </w:p>
    <w:p w:rsidR="00042DEB" w:rsidRDefault="00CE4F78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Финансирование деятельности бюджетной организации за счет субсидирования. Расчет субсидий и</w:t>
      </w:r>
      <w:r w:rsidR="00FF1C5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плана финансово-хозяйственной деятельности.</w:t>
      </w:r>
    </w:p>
    <w:p w:rsidR="00042DEB" w:rsidRDefault="00CE4F78">
      <w:pPr>
        <w:pStyle w:val="af2"/>
        <w:numPr>
          <w:ilvl w:val="0"/>
          <w:numId w:val="2"/>
        </w:numPr>
        <w:tabs>
          <w:tab w:val="clear" w:pos="644"/>
        </w:tabs>
        <w:spacing w:after="0" w:line="240" w:lineRule="auto"/>
        <w:ind w:left="-142" w:hanging="425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Субсидии, гра</w:t>
      </w:r>
      <w:r>
        <w:rPr>
          <w:rFonts w:ascii="Times New Roman" w:hAnsi="Times New Roman" w:cs="Times New Roman"/>
          <w:b/>
          <w:bCs/>
          <w:sz w:val="24"/>
          <w:szCs w:val="24"/>
        </w:rPr>
        <w:t>нты в новых экономических условиях. Как определять, применять и проверять. Проверка документов в ГИИС ЭБ.</w:t>
      </w:r>
    </w:p>
    <w:p w:rsidR="00042DEB" w:rsidRDefault="00CE4F78">
      <w:pPr>
        <w:pStyle w:val="af2"/>
        <w:numPr>
          <w:ilvl w:val="0"/>
          <w:numId w:val="2"/>
        </w:numPr>
        <w:tabs>
          <w:tab w:val="clear" w:pos="644"/>
        </w:tabs>
        <w:spacing w:after="0" w:line="240" w:lineRule="auto"/>
        <w:ind w:left="-142" w:hanging="425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Ориентация на результат.</w:t>
      </w:r>
    </w:p>
    <w:p w:rsidR="00042DEB" w:rsidRDefault="00CE4F78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Обзор лучших практик. Изменения.  Целевые субсидии. </w:t>
      </w:r>
    </w:p>
    <w:p w:rsidR="00042DEB" w:rsidRDefault="00CE4F78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Изменения в порядок финансового обеспечения капитальных вложений.</w:t>
      </w:r>
    </w:p>
    <w:p w:rsidR="00042DEB" w:rsidRDefault="00CE4F78">
      <w:pPr>
        <w:pStyle w:val="af2"/>
        <w:numPr>
          <w:ilvl w:val="0"/>
          <w:numId w:val="2"/>
        </w:numPr>
        <w:tabs>
          <w:tab w:val="clear" w:pos="644"/>
        </w:tabs>
        <w:spacing w:after="0" w:line="240" w:lineRule="auto"/>
        <w:ind w:left="-142" w:hanging="425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Монито</w:t>
      </w:r>
      <w:r>
        <w:rPr>
          <w:rFonts w:ascii="Times New Roman" w:hAnsi="Times New Roman" w:cs="Times New Roman"/>
          <w:b/>
          <w:bCs/>
          <w:sz w:val="24"/>
          <w:szCs w:val="24"/>
        </w:rPr>
        <w:t>ринг финансового состояния, платежеспособности, </w:t>
      </w:r>
      <w:r>
        <w:rPr>
          <w:rFonts w:ascii="Times New Roman" w:hAnsi="Times New Roman" w:cs="Times New Roman"/>
          <w:sz w:val="24"/>
          <w:szCs w:val="24"/>
        </w:rPr>
        <w:t>экономической эффективности: оценка степени целевого использования финансовых ресурсов.</w:t>
      </w:r>
    </w:p>
    <w:p w:rsidR="00042DEB" w:rsidRDefault="00CE4F78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Контроль, аудит и мониторинг использования средств субсидий, грантов и средств платной деятельности.</w:t>
      </w:r>
    </w:p>
    <w:p w:rsidR="00042DEB" w:rsidRDefault="00CE4F78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Расчет эффективности использования бюджетной услуги.</w:t>
      </w:r>
    </w:p>
    <w:p w:rsidR="00042DEB" w:rsidRDefault="00CE4F78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Ценообразование как инструмент управления собственными источниками финансирования. Классификация цен и виды скидок.</w:t>
      </w:r>
    </w:p>
    <w:p w:rsidR="00042DEB" w:rsidRDefault="00CE4F78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Методы ценообразования. Классификация затрат, включаемых в себестоимость продукции/услу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г. </w:t>
      </w:r>
    </w:p>
    <w:p w:rsidR="00042DEB" w:rsidRDefault="00CE4F78">
      <w:pPr>
        <w:pStyle w:val="af2"/>
        <w:numPr>
          <w:ilvl w:val="0"/>
          <w:numId w:val="2"/>
        </w:numPr>
        <w:tabs>
          <w:tab w:val="clear" w:pos="644"/>
        </w:tabs>
        <w:spacing w:after="0" w:line="240" w:lineRule="auto"/>
        <w:ind w:left="-142" w:hanging="425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Закупки и финансирование. Основные направления и изменения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с учетом работы в системе ГИИС Электронный бюджет.</w:t>
      </w:r>
    </w:p>
    <w:p w:rsidR="00042DEB" w:rsidRDefault="00CE4F78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Финансовые последствия изменений.</w:t>
      </w:r>
    </w:p>
    <w:p w:rsidR="00042DEB" w:rsidRDefault="00CE4F78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Особенности договорной работы.</w:t>
      </w:r>
    </w:p>
    <w:p w:rsidR="00042DEB" w:rsidRDefault="00CE4F78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Нормирование затрат.</w:t>
      </w:r>
    </w:p>
    <w:p w:rsidR="00042DEB" w:rsidRDefault="00CE4F78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Методы обоснования начальной/максимальной цены контракта. Показатели эффективности закупок.</w:t>
      </w:r>
    </w:p>
    <w:p w:rsidR="00042DEB" w:rsidRDefault="00CE4F78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Обзор судебной практики.</w:t>
      </w:r>
    </w:p>
    <w:p w:rsidR="00042DEB" w:rsidRDefault="00CE4F78">
      <w:pPr>
        <w:pStyle w:val="af2"/>
        <w:numPr>
          <w:ilvl w:val="0"/>
          <w:numId w:val="2"/>
        </w:numPr>
        <w:tabs>
          <w:tab w:val="clear" w:pos="644"/>
        </w:tabs>
        <w:spacing w:after="0" w:line="240" w:lineRule="auto"/>
        <w:ind w:left="-142" w:hanging="425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Концессия: основные</w:t>
      </w:r>
      <w:r>
        <w:rPr>
          <w:rFonts w:ascii="Times New Roman" w:hAnsi="Times New Roman" w:cs="Times New Roman"/>
          <w:sz w:val="24"/>
          <w:szCs w:val="24"/>
        </w:rPr>
        <w:t xml:space="preserve"> изменения законодательства и перспективы. Контроль передачи, использования, состояния имущества, передаваемого в концес</w:t>
      </w:r>
      <w:r>
        <w:rPr>
          <w:rFonts w:ascii="Times New Roman" w:hAnsi="Times New Roman" w:cs="Times New Roman"/>
          <w:sz w:val="24"/>
          <w:szCs w:val="24"/>
        </w:rPr>
        <w:t>сию. Проверка контрольными органами. Работа в системе ГИИС Электронный бюджет.</w:t>
      </w:r>
    </w:p>
    <w:p w:rsidR="00042DEB" w:rsidRDefault="00CE4F78">
      <w:pPr>
        <w:pStyle w:val="af2"/>
        <w:numPr>
          <w:ilvl w:val="0"/>
          <w:numId w:val="2"/>
        </w:numPr>
        <w:tabs>
          <w:tab w:val="clear" w:pos="644"/>
        </w:tabs>
        <w:spacing w:after="0" w:line="240" w:lineRule="auto"/>
        <w:ind w:left="-142" w:hanging="425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Офсетные контракты. Как подготовиться и проверять.</w:t>
      </w:r>
    </w:p>
    <w:p w:rsidR="00042DEB" w:rsidRDefault="00CE4F78">
      <w:pPr>
        <w:pStyle w:val="af2"/>
        <w:numPr>
          <w:ilvl w:val="0"/>
          <w:numId w:val="2"/>
        </w:numPr>
        <w:tabs>
          <w:tab w:val="clear" w:pos="644"/>
        </w:tabs>
        <w:spacing w:after="0" w:line="240" w:lineRule="auto"/>
        <w:ind w:left="-142" w:hanging="425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Контроль и аудит бухгалтерской </w:t>
      </w:r>
      <w:r>
        <w:rPr>
          <w:rFonts w:ascii="Times New Roman" w:hAnsi="Times New Roman" w:cs="Times New Roman"/>
          <w:b/>
          <w:bCs/>
          <w:sz w:val="24"/>
          <w:szCs w:val="24"/>
        </w:rPr>
        <w:t>отчетности государственных и муниципальных учреждений.</w:t>
      </w:r>
    </w:p>
    <w:p w:rsidR="00042DEB" w:rsidRDefault="00CE4F78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Составление и представление отчетности в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свете последних изменений в инструкциях Минфина РФ по отчетности. Формы, порядок заполнения. Ошибки.</w:t>
      </w:r>
    </w:p>
    <w:p w:rsidR="00042DEB" w:rsidRDefault="00CE4F78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Детальный разбор карты рисков и решений для показателей, из-за которых искажается отчетность и ее могут вернуть на доработку.</w:t>
      </w:r>
    </w:p>
    <w:p w:rsidR="00042DEB" w:rsidRDefault="00CE4F78">
      <w:pPr>
        <w:pStyle w:val="af2"/>
        <w:numPr>
          <w:ilvl w:val="0"/>
          <w:numId w:val="2"/>
        </w:numPr>
        <w:tabs>
          <w:tab w:val="clear" w:pos="644"/>
        </w:tabs>
        <w:spacing w:after="0" w:line="240" w:lineRule="auto"/>
        <w:ind w:left="-142" w:hanging="425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Федеральные Стандарты бухуче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та и отчетности для государственных (муниципальных) учреждений. </w:t>
      </w:r>
    </w:p>
    <w:p w:rsidR="00042DEB" w:rsidRDefault="00CE4F78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Основные изменения в учете, как их будут проверять.</w:t>
      </w:r>
    </w:p>
    <w:p w:rsidR="00042DEB" w:rsidRDefault="00CE4F78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Новые стандарты учета и отчетности 121н,</w:t>
      </w:r>
      <w:r w:rsidR="00FF1C5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132н.</w:t>
      </w:r>
      <w:r w:rsidR="00FF1C5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133н. Практическая реализация.  Подробный разбор.</w:t>
      </w:r>
    </w:p>
    <w:p w:rsidR="00042DEB" w:rsidRDefault="00CE4F78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Раскрытие сложных аспектов ведения учета по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положениям стандартов с позиции контроля. Перспективы развития учета. Централизация учета. Перспективы.</w:t>
      </w:r>
    </w:p>
    <w:p w:rsidR="00042DEB" w:rsidRDefault="00CE4F78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Особенности работы централизованных бухгалтерий и передачи полномочий в Казначейство.</w:t>
      </w:r>
    </w:p>
    <w:p w:rsidR="00042DEB" w:rsidRDefault="00CE4F78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Необходимость и порядок формирования показателей дебиторской и кр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едиторской задолженности.</w:t>
      </w:r>
    </w:p>
    <w:p w:rsidR="00042DEB" w:rsidRDefault="00CE4F78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Цифровой контроль объектов учета.</w:t>
      </w:r>
    </w:p>
    <w:p w:rsidR="00042DEB" w:rsidRDefault="00CE4F78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Учётная политика в учреждениях и при централизации 2026. И что не забыть поменять в 2026 году. Судебная практика.</w:t>
      </w:r>
    </w:p>
    <w:p w:rsidR="00042DEB" w:rsidRDefault="00CE4F78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Вопросы применения ЭДО и новые формы в учреждениях и при централизации.</w:t>
      </w:r>
    </w:p>
    <w:p w:rsidR="00042DEB" w:rsidRDefault="00CE4F78">
      <w:pPr>
        <w:pStyle w:val="af2"/>
        <w:numPr>
          <w:ilvl w:val="0"/>
          <w:numId w:val="2"/>
        </w:numPr>
        <w:shd w:val="clear" w:color="auto" w:fill="FFFFFF"/>
        <w:tabs>
          <w:tab w:val="clear" w:pos="644"/>
        </w:tabs>
        <w:spacing w:after="0" w:line="240" w:lineRule="auto"/>
        <w:ind w:left="-142" w:hanging="425"/>
        <w:jc w:val="both"/>
        <w:outlineLvl w:val="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КС целевых средств (ЦС) и проведения платежей в ГИИС ЭБ.</w:t>
      </w:r>
    </w:p>
    <w:p w:rsidR="00042DEB" w:rsidRDefault="00CE4F78">
      <w:pPr>
        <w:pStyle w:val="af2"/>
        <w:shd w:val="clear" w:color="auto" w:fill="FFFFFF"/>
        <w:spacing w:after="0" w:line="240" w:lineRule="auto"/>
        <w:ind w:left="-142"/>
        <w:jc w:val="both"/>
        <w:outlineLvl w:val="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Санкционирование расходов при КС. Формирование выписок/отчетов. Функционал казначейского обеспечения обязательств.</w:t>
      </w:r>
    </w:p>
    <w:p w:rsidR="00042DEB" w:rsidRDefault="00CE4F78">
      <w:pPr>
        <w:pStyle w:val="af2"/>
        <w:numPr>
          <w:ilvl w:val="0"/>
          <w:numId w:val="2"/>
        </w:numPr>
        <w:tabs>
          <w:tab w:val="clear" w:pos="644"/>
        </w:tabs>
        <w:spacing w:after="0" w:line="240" w:lineRule="auto"/>
        <w:ind w:left="-142" w:hanging="425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Инвентаризация 2026 в учреждениях и при централизации.</w:t>
      </w:r>
    </w:p>
    <w:p w:rsidR="00042DEB" w:rsidRDefault="00CE4F78">
      <w:pPr>
        <w:pStyle w:val="af2"/>
        <w:numPr>
          <w:ilvl w:val="0"/>
          <w:numId w:val="2"/>
        </w:numPr>
        <w:tabs>
          <w:tab w:val="clear" w:pos="644"/>
        </w:tabs>
        <w:spacing w:after="0" w:line="240" w:lineRule="auto"/>
        <w:ind w:left="-142" w:hanging="425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Изменения в налогообложении, </w:t>
      </w:r>
      <w:r>
        <w:rPr>
          <w:rFonts w:ascii="Times New Roman" w:hAnsi="Times New Roman" w:cs="Times New Roman"/>
          <w:b/>
          <w:bCs/>
          <w:sz w:val="24"/>
          <w:szCs w:val="24"/>
        </w:rPr>
        <w:t>налоговом учете и отчетности, и перспективы:</w:t>
      </w:r>
    </w:p>
    <w:p w:rsidR="00042DEB" w:rsidRDefault="00CE4F78">
      <w:pPr>
        <w:pStyle w:val="af2"/>
        <w:spacing w:after="0" w:line="240" w:lineRule="auto"/>
        <w:ind w:left="-142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Практические вопросы налогообложения. Земельный налог, налог на прибыль, налог на имущество, налог на добавленную стоимость — определение налоговой базы, типичные ошибки. </w:t>
      </w:r>
    </w:p>
    <w:p w:rsidR="00042DEB" w:rsidRDefault="00CE4F78">
      <w:pPr>
        <w:pStyle w:val="af2"/>
        <w:numPr>
          <w:ilvl w:val="0"/>
          <w:numId w:val="2"/>
        </w:numPr>
        <w:tabs>
          <w:tab w:val="clear" w:pos="644"/>
        </w:tabs>
        <w:spacing w:after="0" w:line="240" w:lineRule="auto"/>
        <w:ind w:left="-142" w:hanging="425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Учёт налогового законодательства при ос</w:t>
      </w:r>
      <w:r>
        <w:rPr>
          <w:rFonts w:ascii="Times New Roman" w:hAnsi="Times New Roman" w:cs="Times New Roman"/>
          <w:b/>
          <w:bCs/>
          <w:sz w:val="24"/>
          <w:szCs w:val="24"/>
        </w:rPr>
        <w:t>уществлении внешнего финансового контроля за достоверностью и полнотой бюджетной отчётности администратором бюджетных средств.</w:t>
      </w:r>
    </w:p>
    <w:p w:rsidR="00042DEB" w:rsidRDefault="00CE4F78">
      <w:pPr>
        <w:pStyle w:val="af2"/>
        <w:numPr>
          <w:ilvl w:val="0"/>
          <w:numId w:val="2"/>
        </w:numPr>
        <w:tabs>
          <w:tab w:val="clear" w:pos="644"/>
        </w:tabs>
        <w:spacing w:after="0" w:line="240" w:lineRule="auto"/>
        <w:ind w:left="-142" w:hanging="425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Основные изменения в трудовом законодательстве и заработной плате. Как правильно вести планирование, расчет учет, оформлять и про</w:t>
      </w:r>
      <w:r>
        <w:rPr>
          <w:rFonts w:ascii="Times New Roman" w:hAnsi="Times New Roman" w:cs="Times New Roman"/>
          <w:b/>
          <w:bCs/>
          <w:sz w:val="24"/>
          <w:szCs w:val="24"/>
        </w:rPr>
        <w:t>верять. Особенности и практика при централизации.</w:t>
      </w:r>
    </w:p>
    <w:p w:rsidR="00042DEB" w:rsidRDefault="00CE4F78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Изменения и проверки Премия.</w:t>
      </w:r>
    </w:p>
    <w:p w:rsidR="00042DEB" w:rsidRDefault="00CE4F78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Отпуск.</w:t>
      </w:r>
    </w:p>
    <w:p w:rsidR="00042DEB" w:rsidRDefault="00CE4F78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Больничные.</w:t>
      </w:r>
    </w:p>
    <w:p w:rsidR="00042DEB" w:rsidRDefault="00CE4F78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Командировки.</w:t>
      </w:r>
    </w:p>
    <w:p w:rsidR="00042DEB" w:rsidRDefault="00CE4F78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Совмещение и совместительство.</w:t>
      </w:r>
    </w:p>
    <w:p w:rsidR="00042DEB" w:rsidRDefault="00CE4F78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Пособия.</w:t>
      </w:r>
    </w:p>
    <w:p w:rsidR="00042DEB" w:rsidRDefault="00CE4F78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ЕНП.</w:t>
      </w:r>
    </w:p>
    <w:p w:rsidR="00042DEB" w:rsidRDefault="00CE4F78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НДФЛ.</w:t>
      </w:r>
    </w:p>
    <w:p w:rsidR="00042DEB" w:rsidRDefault="00CE4F78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Персональные данные. Ответственность.</w:t>
      </w:r>
    </w:p>
    <w:p w:rsidR="00042DEB" w:rsidRDefault="00CE4F78">
      <w:pPr>
        <w:pStyle w:val="af2"/>
        <w:numPr>
          <w:ilvl w:val="0"/>
          <w:numId w:val="2"/>
        </w:numPr>
        <w:tabs>
          <w:tab w:val="clear" w:pos="644"/>
        </w:tabs>
        <w:spacing w:after="0" w:line="240" w:lineRule="auto"/>
        <w:ind w:left="-142" w:hanging="425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Государственный (муниципального) финансовый контроля. </w:t>
      </w:r>
      <w:r>
        <w:rPr>
          <w:rFonts w:ascii="Times New Roman" w:hAnsi="Times New Roman" w:cs="Times New Roman"/>
          <w:b/>
          <w:bCs/>
          <w:sz w:val="24"/>
          <w:szCs w:val="24"/>
        </w:rPr>
        <w:t>Аудит деятельности казенных, бюджетных и автономных учреждений.</w:t>
      </w:r>
    </w:p>
    <w:p w:rsidR="00042DEB" w:rsidRDefault="00CE4F78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Новации в осуществлении внутреннего Г(М)ФК. Новые методы и процедуры.</w:t>
      </w:r>
    </w:p>
    <w:p w:rsidR="00042DEB" w:rsidRDefault="00CE4F78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Обзор нарушений по результатам анализа практики контрольной деятельности.</w:t>
      </w:r>
    </w:p>
    <w:p w:rsidR="00042DEB" w:rsidRDefault="00CE4F78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Требования Минфина к внутреннему контролю: что 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зменилось и зачем.</w:t>
      </w:r>
    </w:p>
    <w:p w:rsidR="00042DEB" w:rsidRDefault="00CE4F78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Обзор ключевых изменений в законодательстве и ожиданий Минфина.</w:t>
      </w:r>
    </w:p>
    <w:p w:rsidR="00042DEB" w:rsidRDefault="00CE4F78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Разбор ключевых компонентов системы (среда контроля, оценка рисков, контрольные процедуры, информация и коммуникации, мониторинг).Оценка идокументирование рисков практически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е подходы.</w:t>
      </w:r>
    </w:p>
    <w:p w:rsidR="00042DEB" w:rsidRDefault="00CE4F78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Подготовка к аудиту и проверкам контрольных органов: на что обратить внимание.</w:t>
      </w:r>
    </w:p>
    <w:p w:rsidR="00042DEB" w:rsidRDefault="00CE4F78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Основные тенденции методологии и практики аудита планирования и осуществления хозяйственной деятельности.</w:t>
      </w:r>
    </w:p>
    <w:p w:rsidR="00042DEB" w:rsidRDefault="00CE4F78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Алгоритм подготовки и внедрения: от оценки до регламентации.</w:t>
      </w:r>
    </w:p>
    <w:p w:rsidR="00042DEB" w:rsidRDefault="00CE4F78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Типичные ошибки, лучшие практики.</w:t>
      </w:r>
    </w:p>
    <w:p w:rsidR="00042DEB" w:rsidRDefault="00CE4F78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Инструменты автоматизации: как упростить процесс и обеспечить непрерывность.</w:t>
      </w:r>
    </w:p>
    <w:p w:rsidR="00042DEB" w:rsidRDefault="00CE4F78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Технологическая интеграция учетных данных — новый этап в построении цифровой среды.</w:t>
      </w:r>
    </w:p>
    <w:p w:rsidR="00042DEB" w:rsidRDefault="00CE4F78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Профилактика коррупции, мошенничества, кибератак и роль инфо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рмационных технологий и цифровизации. Лучшие практики регионов.</w:t>
      </w:r>
    </w:p>
    <w:p w:rsidR="00042DEB" w:rsidRDefault="00CE4F78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Проблемы</w:t>
      </w:r>
      <w:r w:rsidR="00FF1C5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кибербезопасности и пути</w:t>
      </w:r>
      <w:r w:rsidR="00FF1C5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их решения в цифровой среде.</w:t>
      </w:r>
    </w:p>
    <w:p w:rsidR="00042DEB" w:rsidRDefault="00CE4F78">
      <w:pPr>
        <w:numPr>
          <w:ilvl w:val="0"/>
          <w:numId w:val="1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Как использовать искусственный</w:t>
      </w:r>
      <w:r w:rsidR="00FF1C5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интеллект в бюджетной сфере.</w:t>
      </w:r>
    </w:p>
    <w:p w:rsidR="00042DEB" w:rsidRDefault="00042DEB">
      <w:pPr>
        <w:pStyle w:val="af2"/>
        <w:tabs>
          <w:tab w:val="num" w:pos="-142"/>
        </w:tabs>
        <w:spacing w:after="0" w:line="240" w:lineRule="auto"/>
        <w:ind w:left="644"/>
        <w:jc w:val="both"/>
        <w:outlineLvl w:val="2"/>
        <w:rPr>
          <w:rFonts w:ascii="Times New Roman" w:hAnsi="Times New Roman" w:cs="Times New Roman"/>
        </w:rPr>
      </w:pPr>
    </w:p>
    <w:p w:rsidR="00042DEB" w:rsidRDefault="00CE4F78">
      <w:pPr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НА СЕМИНАРЕ ВЫСТУПИТ: </w:t>
      </w:r>
      <w:r>
        <w:rPr>
          <w:rFonts w:ascii="Times New Roman" w:hAnsi="Times New Roman" w:cs="Times New Roman"/>
          <w:b/>
          <w:sz w:val="24"/>
          <w:szCs w:val="24"/>
        </w:rPr>
        <w:t>Гусева Наталия Михайловна</w:t>
      </w:r>
      <w:r>
        <w:rPr>
          <w:rFonts w:ascii="Times New Roman" w:hAnsi="Times New Roman" w:cs="Times New Roman"/>
          <w:sz w:val="24"/>
          <w:szCs w:val="24"/>
        </w:rPr>
        <w:t>,</w:t>
      </w:r>
      <w:r w:rsidR="00FF1C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государственный советни</w:t>
      </w:r>
      <w:r>
        <w:rPr>
          <w:rFonts w:ascii="Times New Roman" w:hAnsi="Times New Roman" w:cs="Times New Roman"/>
          <w:sz w:val="24"/>
          <w:szCs w:val="24"/>
        </w:rPr>
        <w:t>к 2 класса, канд. экон. наук. Директор Центра внутреннего контроля и аудита АНО «ИДПО МФЦ». Автор и эксперт системы Госфинансы (Актион).</w:t>
      </w:r>
      <w:r w:rsidR="00FF1C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Имеет Благодарность Президента России</w:t>
      </w:r>
    </w:p>
    <w:p w:rsidR="00042DEB" w:rsidRDefault="00CE4F78">
      <w:pPr>
        <w:tabs>
          <w:tab w:val="left" w:pos="5735"/>
        </w:tabs>
        <w:spacing w:after="0" w:line="240" w:lineRule="auto"/>
        <w:ind w:left="-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Управления, главный бухгалтер Росфиннадзора (2006–2013 гг.).</w:t>
      </w:r>
    </w:p>
    <w:p w:rsidR="00042DEB" w:rsidRDefault="00CE4F78">
      <w:pPr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Автор более ста научных и практических публикаций по вопросам экономики, аудита и ревизий, бухгалтерского, налогового и управленческого учета, финансового контроля, администрирования доходов Российской федерации, а также актуальных вопросов практики управл</w:t>
      </w:r>
      <w:r>
        <w:rPr>
          <w:rFonts w:ascii="Times New Roman" w:hAnsi="Times New Roman" w:cs="Times New Roman"/>
          <w:sz w:val="24"/>
          <w:szCs w:val="24"/>
        </w:rPr>
        <w:t xml:space="preserve">ения и эффективного использования средств. </w:t>
      </w:r>
    </w:p>
    <w:p w:rsidR="00042DEB" w:rsidRDefault="00CE4F78">
      <w:pPr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Практик-консультант. Проведение практических семинаров для работников Пенсионного фонда РФ, налоговых органов, ЦИК, Верховного суда, Министерства обороны, Росатом, других министерств, федеральных служб, ведущих к</w:t>
      </w:r>
      <w:r>
        <w:rPr>
          <w:rFonts w:ascii="Times New Roman" w:hAnsi="Times New Roman" w:cs="Times New Roman"/>
          <w:sz w:val="24"/>
          <w:szCs w:val="24"/>
        </w:rPr>
        <w:t xml:space="preserve">азенных, бюджетных, автономных, унитарных и коммерческих организаций. </w:t>
      </w:r>
    </w:p>
    <w:p w:rsidR="00042DEB" w:rsidRDefault="00CE4F78">
      <w:pPr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последние 5 лет провела более 350 практических семинаров в регионах России.</w:t>
      </w:r>
    </w:p>
    <w:p w:rsidR="00042DEB" w:rsidRDefault="00CE4F78">
      <w:pPr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Автор практических консультаций и эксперт системы ГОСФИНАНСЫ (группа АКТИОН).</w:t>
      </w:r>
    </w:p>
    <w:p w:rsidR="00042DEB" w:rsidRDefault="00CE4F78">
      <w:pPr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программе также в качестве</w:t>
      </w:r>
      <w:r>
        <w:rPr>
          <w:rFonts w:ascii="Times New Roman" w:hAnsi="Times New Roman" w:cs="Times New Roman"/>
          <w:sz w:val="24"/>
          <w:szCs w:val="24"/>
        </w:rPr>
        <w:t xml:space="preserve"> спикеров примут участие ведущие эксперты в области проверок и правового консалтинга </w:t>
      </w:r>
    </w:p>
    <w:p w:rsidR="00042DEB" w:rsidRDefault="00042DEB">
      <w:pPr>
        <w:spacing w:after="0" w:line="240" w:lineRule="auto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2DEB" w:rsidRDefault="00CE4F78">
      <w:pPr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Стоимость курса </w:t>
      </w:r>
      <w:r>
        <w:rPr>
          <w:rFonts w:ascii="Times New Roman" w:hAnsi="Times New Roman" w:cs="Times New Roman"/>
          <w:sz w:val="24"/>
          <w:szCs w:val="24"/>
        </w:rPr>
        <w:t xml:space="preserve">за одного слушателя </w:t>
      </w:r>
      <w:r>
        <w:rPr>
          <w:rFonts w:ascii="Times New Roman" w:hAnsi="Times New Roman" w:cs="Times New Roman"/>
          <w:b/>
          <w:sz w:val="24"/>
          <w:szCs w:val="24"/>
        </w:rPr>
        <w:t xml:space="preserve">35700 (Тридцать пять тысяч семьсот) </w:t>
      </w:r>
      <w:r>
        <w:rPr>
          <w:rFonts w:ascii="Times New Roman" w:hAnsi="Times New Roman" w:cs="Times New Roman"/>
          <w:sz w:val="24"/>
          <w:szCs w:val="24"/>
        </w:rPr>
        <w:t>рублей, без НДС</w:t>
      </w:r>
    </w:p>
    <w:p w:rsidR="00042DEB" w:rsidRDefault="00042DEB">
      <w:pPr>
        <w:spacing w:after="0" w:line="240" w:lineRule="auto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2DEB" w:rsidRDefault="00CE4F78">
      <w:pPr>
        <w:spacing w:after="0" w:line="240" w:lineRule="auto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стоимость входит:</w:t>
      </w:r>
    </w:p>
    <w:p w:rsidR="00042DEB" w:rsidRDefault="00CE4F78">
      <w:pPr>
        <w:pStyle w:val="af2"/>
        <w:numPr>
          <w:ilvl w:val="0"/>
          <w:numId w:val="14"/>
        </w:numPr>
        <w:tabs>
          <w:tab w:val="left" w:pos="-142"/>
        </w:tabs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Раздаточный материал в электронном и бумажном виде.</w:t>
      </w:r>
    </w:p>
    <w:p w:rsidR="00042DEB" w:rsidRDefault="00CE4F78">
      <w:pPr>
        <w:pStyle w:val="af2"/>
        <w:numPr>
          <w:ilvl w:val="0"/>
          <w:numId w:val="14"/>
        </w:numPr>
        <w:tabs>
          <w:tab w:val="left" w:pos="-142"/>
        </w:tabs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Кофе-бре</w:t>
      </w:r>
      <w:r>
        <w:rPr>
          <w:rFonts w:ascii="Times New Roman" w:hAnsi="Times New Roman" w:cs="Times New Roman"/>
          <w:sz w:val="24"/>
          <w:szCs w:val="24"/>
        </w:rPr>
        <w:t>йки, обеды</w:t>
      </w:r>
      <w:r w:rsidR="00FF1C51">
        <w:rPr>
          <w:rFonts w:ascii="Times New Roman" w:hAnsi="Times New Roman" w:cs="Times New Roman"/>
          <w:sz w:val="24"/>
          <w:szCs w:val="24"/>
        </w:rPr>
        <w:t>.</w:t>
      </w:r>
    </w:p>
    <w:p w:rsidR="00042DEB" w:rsidRDefault="00042DEB">
      <w:pPr>
        <w:spacing w:after="0" w:line="240" w:lineRule="auto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2DEB" w:rsidRDefault="00CE4F78">
      <w:pPr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Документы об обучении: </w:t>
      </w:r>
      <w:r>
        <w:rPr>
          <w:rFonts w:ascii="Times New Roman" w:hAnsi="Times New Roman" w:cs="Times New Roman"/>
          <w:sz w:val="24"/>
          <w:szCs w:val="24"/>
        </w:rPr>
        <w:t>выдается удостоверение о повышении квалификации установленного образца</w:t>
      </w:r>
    </w:p>
    <w:p w:rsidR="00042DEB" w:rsidRDefault="00042DEB">
      <w:pPr>
        <w:spacing w:after="0" w:line="240" w:lineRule="auto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2DEB" w:rsidRDefault="00CE4F78">
      <w:pPr>
        <w:spacing w:after="0" w:line="240" w:lineRule="auto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стоимость не входит проезд и проживание.</w:t>
      </w:r>
    </w:p>
    <w:p w:rsidR="00FF1C51" w:rsidRDefault="00CE4F78" w:rsidP="00FF1C51">
      <w:pPr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проведения: </w:t>
      </w:r>
      <w:r>
        <w:rPr>
          <w:rFonts w:ascii="Times New Roman" w:hAnsi="Times New Roman" w:cs="Times New Roman"/>
          <w:bCs/>
          <w:sz w:val="24"/>
          <w:szCs w:val="24"/>
        </w:rPr>
        <w:t>г. Москва, ул. Буженинова, д.30, стр.1, 3 эт. (ст.м. Преображенская площадь)</w:t>
      </w:r>
      <w:r w:rsidR="00FF1C51">
        <w:rPr>
          <w:rFonts w:ascii="Times New Roman" w:hAnsi="Times New Roman" w:cs="Times New Roman"/>
          <w:bCs/>
          <w:sz w:val="24"/>
          <w:szCs w:val="24"/>
        </w:rPr>
        <w:t>.</w:t>
      </w:r>
    </w:p>
    <w:p w:rsidR="00FF1C51" w:rsidRDefault="00FF1C51" w:rsidP="00FF1C51">
      <w:pPr>
        <w:spacing w:after="0" w:line="240" w:lineRule="auto"/>
        <w:ind w:left="-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42DEB" w:rsidRPr="00FF1C51" w:rsidRDefault="00CE4F78" w:rsidP="00FF1C51">
      <w:pPr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Административная информация.</w:t>
      </w:r>
      <w:bookmarkStart w:id="0" w:name="_GoBack"/>
      <w:bookmarkEnd w:id="0"/>
      <w:r w:rsidR="00FF1C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F1C51">
        <w:rPr>
          <w:rFonts w:ascii="Times New Roman" w:hAnsi="Times New Roman" w:cs="Times New Roman"/>
          <w:bCs/>
          <w:sz w:val="24"/>
          <w:szCs w:val="24"/>
        </w:rPr>
        <w:t xml:space="preserve">По вопросам участия в семинаре обращаться к </w:t>
      </w:r>
      <w:r>
        <w:rPr>
          <w:rFonts w:ascii="Times New Roman" w:hAnsi="Times New Roman" w:cs="Times New Roman"/>
          <w:i/>
          <w:iCs/>
          <w:sz w:val="24"/>
          <w:szCs w:val="24"/>
        </w:rPr>
        <w:t>Шуваевой Марии по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тел. +7(495)921-2273 многоканальный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;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2@educenter.ru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интернет: </w:t>
      </w:r>
      <w:hyperlink r:id="rId9" w:tooltip="http://www.educenter.ru" w:history="1">
        <w:r>
          <w:rPr>
            <w:rStyle w:val="af7"/>
            <w:rFonts w:ascii="Times New Roman" w:hAnsi="Times New Roman" w:cs="Arial"/>
            <w:b/>
            <w:bCs/>
            <w:i/>
            <w:iCs/>
            <w:sz w:val="24"/>
            <w:szCs w:val="24"/>
          </w:rPr>
          <w:t>www.educenter.ru</w:t>
        </w:r>
      </w:hyperlink>
    </w:p>
    <w:p w:rsidR="00042DEB" w:rsidRDefault="00042DEB">
      <w:pPr>
        <w:ind w:left="-709"/>
        <w:rPr>
          <w:rFonts w:ascii="Times New Roman" w:hAnsi="Times New Roman" w:cs="Times New Roman"/>
          <w:bCs/>
          <w:sz w:val="24"/>
          <w:szCs w:val="24"/>
        </w:rPr>
      </w:pPr>
    </w:p>
    <w:sectPr w:rsidR="00042DEB" w:rsidSect="00042DEB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4F78" w:rsidRDefault="00CE4F78">
      <w:pPr>
        <w:spacing w:after="0" w:line="240" w:lineRule="auto"/>
      </w:pPr>
      <w:r>
        <w:separator/>
      </w:r>
    </w:p>
  </w:endnote>
  <w:endnote w:type="continuationSeparator" w:id="1">
    <w:p w:rsidR="00CE4F78" w:rsidRDefault="00CE4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4F78" w:rsidRDefault="00CE4F78">
      <w:pPr>
        <w:spacing w:after="0" w:line="240" w:lineRule="auto"/>
      </w:pPr>
      <w:r>
        <w:separator/>
      </w:r>
    </w:p>
  </w:footnote>
  <w:footnote w:type="continuationSeparator" w:id="1">
    <w:p w:rsidR="00CE4F78" w:rsidRDefault="00CE4F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057D8"/>
    <w:multiLevelType w:val="hybridMultilevel"/>
    <w:tmpl w:val="9DEA8648"/>
    <w:lvl w:ilvl="0" w:tplc="DE8675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CD7C826E">
      <w:start w:val="1"/>
      <w:numFmt w:val="lowerLetter"/>
      <w:lvlText w:val="%2."/>
      <w:lvlJc w:val="left"/>
      <w:pPr>
        <w:ind w:left="1440" w:hanging="360"/>
      </w:pPr>
    </w:lvl>
    <w:lvl w:ilvl="2" w:tplc="4BCE9CC4">
      <w:start w:val="1"/>
      <w:numFmt w:val="lowerRoman"/>
      <w:lvlText w:val="%3."/>
      <w:lvlJc w:val="right"/>
      <w:pPr>
        <w:ind w:left="2160" w:hanging="180"/>
      </w:pPr>
    </w:lvl>
    <w:lvl w:ilvl="3" w:tplc="99ACCCC6">
      <w:start w:val="1"/>
      <w:numFmt w:val="decimal"/>
      <w:lvlText w:val="%4."/>
      <w:lvlJc w:val="left"/>
      <w:pPr>
        <w:ind w:left="2880" w:hanging="360"/>
      </w:pPr>
    </w:lvl>
    <w:lvl w:ilvl="4" w:tplc="74CEA648">
      <w:start w:val="1"/>
      <w:numFmt w:val="lowerLetter"/>
      <w:lvlText w:val="%5."/>
      <w:lvlJc w:val="left"/>
      <w:pPr>
        <w:ind w:left="3600" w:hanging="360"/>
      </w:pPr>
    </w:lvl>
    <w:lvl w:ilvl="5" w:tplc="C8B6807C">
      <w:start w:val="1"/>
      <w:numFmt w:val="lowerRoman"/>
      <w:lvlText w:val="%6."/>
      <w:lvlJc w:val="right"/>
      <w:pPr>
        <w:ind w:left="4320" w:hanging="180"/>
      </w:pPr>
    </w:lvl>
    <w:lvl w:ilvl="6" w:tplc="877E8C68">
      <w:start w:val="1"/>
      <w:numFmt w:val="decimal"/>
      <w:lvlText w:val="%7."/>
      <w:lvlJc w:val="left"/>
      <w:pPr>
        <w:ind w:left="5040" w:hanging="360"/>
      </w:pPr>
    </w:lvl>
    <w:lvl w:ilvl="7" w:tplc="ED00AA42">
      <w:start w:val="1"/>
      <w:numFmt w:val="lowerLetter"/>
      <w:lvlText w:val="%8."/>
      <w:lvlJc w:val="left"/>
      <w:pPr>
        <w:ind w:left="5760" w:hanging="360"/>
      </w:pPr>
    </w:lvl>
    <w:lvl w:ilvl="8" w:tplc="1060746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D15CA4"/>
    <w:multiLevelType w:val="hybridMultilevel"/>
    <w:tmpl w:val="B30E8D66"/>
    <w:lvl w:ilvl="0" w:tplc="0658E06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52F8531C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plc="C90A0970">
      <w:start w:val="10"/>
      <w:numFmt w:val="decimal"/>
      <w:lvlText w:val="%3"/>
      <w:lvlJc w:val="left"/>
      <w:pPr>
        <w:ind w:left="2160" w:hanging="360"/>
      </w:pPr>
      <w:rPr>
        <w:rFonts w:hint="default"/>
      </w:rPr>
    </w:lvl>
    <w:lvl w:ilvl="3" w:tplc="53BE28C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FE22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74896B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46A37A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E42AE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F0A416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8678F0"/>
    <w:multiLevelType w:val="hybridMultilevel"/>
    <w:tmpl w:val="E7346904"/>
    <w:lvl w:ilvl="0" w:tplc="3844E4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7490D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49AD6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72EB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8CEC9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7D8B8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875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7229D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5819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405D56"/>
    <w:multiLevelType w:val="hybridMultilevel"/>
    <w:tmpl w:val="FB741F8E"/>
    <w:lvl w:ilvl="0" w:tplc="0450AC3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EBFCB5DE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9C6E41A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7A10145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E5C76CC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BC4360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8405B14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9A4E1C52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B66CC2D2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4BE6586"/>
    <w:multiLevelType w:val="hybridMultilevel"/>
    <w:tmpl w:val="44049C6A"/>
    <w:lvl w:ilvl="0" w:tplc="0396CDA8">
      <w:start w:val="12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1D966156">
      <w:start w:val="1"/>
      <w:numFmt w:val="lowerLetter"/>
      <w:lvlText w:val="%2."/>
      <w:lvlJc w:val="left"/>
      <w:pPr>
        <w:ind w:left="1364" w:hanging="360"/>
      </w:pPr>
    </w:lvl>
    <w:lvl w:ilvl="2" w:tplc="93524518">
      <w:start w:val="1"/>
      <w:numFmt w:val="lowerRoman"/>
      <w:lvlText w:val="%3."/>
      <w:lvlJc w:val="right"/>
      <w:pPr>
        <w:ind w:left="2084" w:hanging="180"/>
      </w:pPr>
    </w:lvl>
    <w:lvl w:ilvl="3" w:tplc="FAAEA7DA">
      <w:start w:val="1"/>
      <w:numFmt w:val="decimal"/>
      <w:lvlText w:val="%4."/>
      <w:lvlJc w:val="left"/>
      <w:pPr>
        <w:ind w:left="2804" w:hanging="360"/>
      </w:pPr>
    </w:lvl>
    <w:lvl w:ilvl="4" w:tplc="FDC89E72">
      <w:start w:val="1"/>
      <w:numFmt w:val="lowerLetter"/>
      <w:lvlText w:val="%5."/>
      <w:lvlJc w:val="left"/>
      <w:pPr>
        <w:ind w:left="3524" w:hanging="360"/>
      </w:pPr>
    </w:lvl>
    <w:lvl w:ilvl="5" w:tplc="1354D0AC">
      <w:start w:val="1"/>
      <w:numFmt w:val="lowerRoman"/>
      <w:lvlText w:val="%6."/>
      <w:lvlJc w:val="right"/>
      <w:pPr>
        <w:ind w:left="4244" w:hanging="180"/>
      </w:pPr>
    </w:lvl>
    <w:lvl w:ilvl="6" w:tplc="FF7CEEC2">
      <w:start w:val="1"/>
      <w:numFmt w:val="decimal"/>
      <w:lvlText w:val="%7."/>
      <w:lvlJc w:val="left"/>
      <w:pPr>
        <w:ind w:left="4964" w:hanging="360"/>
      </w:pPr>
    </w:lvl>
    <w:lvl w:ilvl="7" w:tplc="1EFAB814">
      <w:start w:val="1"/>
      <w:numFmt w:val="lowerLetter"/>
      <w:lvlText w:val="%8."/>
      <w:lvlJc w:val="left"/>
      <w:pPr>
        <w:ind w:left="5684" w:hanging="360"/>
      </w:pPr>
    </w:lvl>
    <w:lvl w:ilvl="8" w:tplc="6B0AC846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9B83512"/>
    <w:multiLevelType w:val="hybridMultilevel"/>
    <w:tmpl w:val="54A0EE56"/>
    <w:lvl w:ilvl="0" w:tplc="E8DA9DFC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634CB4FC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D1645FB4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15F01A08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EB76D15A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24FE6636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9D1CB514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56C66584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E9EEF1CE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6">
    <w:nsid w:val="2F0A4C12"/>
    <w:multiLevelType w:val="hybridMultilevel"/>
    <w:tmpl w:val="2098E866"/>
    <w:lvl w:ilvl="0" w:tplc="5030CB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CE085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1446C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34DD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7CCFF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E489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3015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FA19D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FAC2E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BC460D"/>
    <w:multiLevelType w:val="hybridMultilevel"/>
    <w:tmpl w:val="448ACFFE"/>
    <w:lvl w:ilvl="0" w:tplc="C9E6F59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30419FE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8DE1390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E82ED01A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5CC33C2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7E4D60E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D6060C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D28FDBE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ACCF08E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76E3F27"/>
    <w:multiLevelType w:val="hybridMultilevel"/>
    <w:tmpl w:val="CBF27CEC"/>
    <w:lvl w:ilvl="0" w:tplc="ED6CFC3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9BE14D8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9DEC26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7DD610C6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BAA9A76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4AAB71A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9806248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ED38069C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9A45904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3CD5006"/>
    <w:multiLevelType w:val="hybridMultilevel"/>
    <w:tmpl w:val="57D85E20"/>
    <w:lvl w:ilvl="0" w:tplc="84E6DFD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A1C900A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8CC60B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358AD9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BA8821C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DA4AF8DA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1A090E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01EFA58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B0E23AB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3D4671F"/>
    <w:multiLevelType w:val="hybridMultilevel"/>
    <w:tmpl w:val="B3E6EEC4"/>
    <w:lvl w:ilvl="0" w:tplc="801AEA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D818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400D9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7EF0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1C08C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154AA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0AB6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06D67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2095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5CA2403"/>
    <w:multiLevelType w:val="hybridMultilevel"/>
    <w:tmpl w:val="725EDDA8"/>
    <w:lvl w:ilvl="0" w:tplc="122A203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5212D27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2446E39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40E4ED3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39A604EA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D1E837D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A7645C0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D1B0E81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1AD22BC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58241EBC"/>
    <w:multiLevelType w:val="hybridMultilevel"/>
    <w:tmpl w:val="ADB80092"/>
    <w:lvl w:ilvl="0" w:tplc="3A320518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C8BEBA66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705E4FBE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B11E3B74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30082D72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E1401586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2C901EA2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96BE8418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FEEA1B80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3">
    <w:nsid w:val="63410BB4"/>
    <w:multiLevelType w:val="hybridMultilevel"/>
    <w:tmpl w:val="38BC13A2"/>
    <w:lvl w:ilvl="0" w:tplc="A3B60860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B88C56BC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C57E086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1E30E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7268F66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C0C6F96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A0568050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EDEC3ABA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4162BCD6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68C76DAB"/>
    <w:multiLevelType w:val="hybridMultilevel"/>
    <w:tmpl w:val="F0962C40"/>
    <w:lvl w:ilvl="0" w:tplc="0D0E1F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B0BE38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plc="EA0206B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E344A8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A8AE6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B7C875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61AE6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DA74D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45C0B4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C8732FC"/>
    <w:multiLevelType w:val="hybridMultilevel"/>
    <w:tmpl w:val="5B844B3E"/>
    <w:lvl w:ilvl="0" w:tplc="11BE13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 w:tplc="BCCEA93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9BDAA80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707A864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A7E2252A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0AAA8992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056C820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6988FEA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8B62A08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6D8E20CA"/>
    <w:multiLevelType w:val="hybridMultilevel"/>
    <w:tmpl w:val="53961F6A"/>
    <w:lvl w:ilvl="0" w:tplc="67CA2AA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8B78EBDA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A11E978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190B5A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7AC256C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2489398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B2CCF08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AAA4926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B1664C02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0"/>
  </w:num>
  <w:num w:numId="6">
    <w:abstractNumId w:val="9"/>
  </w:num>
  <w:num w:numId="7">
    <w:abstractNumId w:val="8"/>
  </w:num>
  <w:num w:numId="8">
    <w:abstractNumId w:val="2"/>
  </w:num>
  <w:num w:numId="9">
    <w:abstractNumId w:val="7"/>
  </w:num>
  <w:num w:numId="10">
    <w:abstractNumId w:val="3"/>
  </w:num>
  <w:num w:numId="11">
    <w:abstractNumId w:val="16"/>
  </w:num>
  <w:num w:numId="12">
    <w:abstractNumId w:val="10"/>
  </w:num>
  <w:num w:numId="13">
    <w:abstractNumId w:val="6"/>
  </w:num>
  <w:num w:numId="14">
    <w:abstractNumId w:val="13"/>
  </w:num>
  <w:num w:numId="15">
    <w:abstractNumId w:val="5"/>
  </w:num>
  <w:num w:numId="16">
    <w:abstractNumId w:val="12"/>
  </w:num>
  <w:num w:numId="17">
    <w:abstractNumId w:val="15"/>
    <w:lvlOverride w:ilvl="0">
      <w:startOverride w:val="1"/>
    </w:lvlOverride>
  </w:num>
  <w:num w:numId="18">
    <w:abstractNumId w:val="11"/>
  </w:num>
  <w:num w:numId="1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42DEB"/>
    <w:rsid w:val="00042DEB"/>
    <w:rsid w:val="00CE4F78"/>
    <w:rsid w:val="00FF1C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D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042DEB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042DEB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link w:val="Heading3"/>
    <w:uiPriority w:val="9"/>
    <w:rsid w:val="00042DEB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042DEB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042DEB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042DEB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042DEB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042DEB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link w:val="Heading9"/>
    <w:uiPriority w:val="9"/>
    <w:rsid w:val="00042DEB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rsid w:val="00042DEB"/>
    <w:pPr>
      <w:spacing w:after="0" w:line="240" w:lineRule="auto"/>
    </w:pPr>
  </w:style>
  <w:style w:type="character" w:customStyle="1" w:styleId="TitleChar">
    <w:name w:val="Title Char"/>
    <w:basedOn w:val="a0"/>
    <w:link w:val="a4"/>
    <w:uiPriority w:val="10"/>
    <w:rsid w:val="00042DEB"/>
    <w:rPr>
      <w:sz w:val="48"/>
      <w:szCs w:val="48"/>
    </w:rPr>
  </w:style>
  <w:style w:type="character" w:customStyle="1" w:styleId="SubtitleChar">
    <w:name w:val="Subtitle Char"/>
    <w:basedOn w:val="a0"/>
    <w:link w:val="a5"/>
    <w:uiPriority w:val="11"/>
    <w:rsid w:val="00042DEB"/>
    <w:rPr>
      <w:sz w:val="24"/>
      <w:szCs w:val="24"/>
    </w:rPr>
  </w:style>
  <w:style w:type="character" w:customStyle="1" w:styleId="QuoteChar">
    <w:name w:val="Quote Char"/>
    <w:link w:val="2"/>
    <w:uiPriority w:val="29"/>
    <w:rsid w:val="00042DEB"/>
    <w:rPr>
      <w:i/>
    </w:rPr>
  </w:style>
  <w:style w:type="character" w:customStyle="1" w:styleId="IntenseQuoteChar">
    <w:name w:val="Intense Quote Char"/>
    <w:link w:val="a6"/>
    <w:uiPriority w:val="30"/>
    <w:rsid w:val="00042DEB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042DEB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042DEB"/>
  </w:style>
  <w:style w:type="paragraph" w:customStyle="1" w:styleId="Footer">
    <w:name w:val="Footer"/>
    <w:basedOn w:val="a"/>
    <w:link w:val="FooterChar"/>
    <w:uiPriority w:val="99"/>
    <w:unhideWhenUsed/>
    <w:rsid w:val="00042DEB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042DEB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042DEB"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042DEB"/>
    <w:rPr>
      <w:b/>
      <w:bCs/>
      <w:color w:val="4472C4" w:themeColor="accent1"/>
      <w:sz w:val="18"/>
      <w:szCs w:val="18"/>
    </w:rPr>
  </w:style>
  <w:style w:type="table" w:styleId="a7">
    <w:name w:val="Table Grid"/>
    <w:basedOn w:val="a1"/>
    <w:uiPriority w:val="59"/>
    <w:rsid w:val="00042DE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042DEB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042DEB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042DE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042DE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042DE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042DE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042DE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042DE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042DE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042DE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042DE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042DE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042DE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042DE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042DE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042DE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042DE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042D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8">
    <w:name w:val="footnote text"/>
    <w:basedOn w:val="a"/>
    <w:link w:val="a9"/>
    <w:uiPriority w:val="99"/>
    <w:semiHidden/>
    <w:unhideWhenUsed/>
    <w:rsid w:val="00042DEB"/>
    <w:pPr>
      <w:spacing w:after="40" w:line="240" w:lineRule="auto"/>
    </w:pPr>
    <w:rPr>
      <w:sz w:val="18"/>
    </w:rPr>
  </w:style>
  <w:style w:type="character" w:customStyle="1" w:styleId="a9">
    <w:name w:val="Текст сноски Знак"/>
    <w:link w:val="a8"/>
    <w:uiPriority w:val="99"/>
    <w:rsid w:val="00042DEB"/>
    <w:rPr>
      <w:sz w:val="18"/>
    </w:rPr>
  </w:style>
  <w:style w:type="character" w:styleId="aa">
    <w:name w:val="footnote reference"/>
    <w:basedOn w:val="a0"/>
    <w:uiPriority w:val="99"/>
    <w:unhideWhenUsed/>
    <w:rsid w:val="00042DEB"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rsid w:val="00042DEB"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b"/>
    <w:uiPriority w:val="99"/>
    <w:rsid w:val="00042DEB"/>
    <w:rPr>
      <w:sz w:val="20"/>
    </w:rPr>
  </w:style>
  <w:style w:type="character" w:styleId="ad">
    <w:name w:val="endnote reference"/>
    <w:basedOn w:val="a0"/>
    <w:uiPriority w:val="99"/>
    <w:semiHidden/>
    <w:unhideWhenUsed/>
    <w:rsid w:val="00042DEB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042DEB"/>
    <w:pPr>
      <w:spacing w:after="57"/>
    </w:pPr>
  </w:style>
  <w:style w:type="paragraph" w:styleId="20">
    <w:name w:val="toc 2"/>
    <w:basedOn w:val="a"/>
    <w:next w:val="a"/>
    <w:uiPriority w:val="39"/>
    <w:unhideWhenUsed/>
    <w:rsid w:val="00042DEB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042DEB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042DEB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042DEB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042DEB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042DEB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042DEB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042DEB"/>
    <w:pPr>
      <w:spacing w:after="57"/>
      <w:ind w:left="2268"/>
    </w:pPr>
  </w:style>
  <w:style w:type="paragraph" w:styleId="ae">
    <w:name w:val="TOC Heading"/>
    <w:uiPriority w:val="39"/>
    <w:unhideWhenUsed/>
    <w:rsid w:val="00042DEB"/>
  </w:style>
  <w:style w:type="paragraph" w:styleId="af">
    <w:name w:val="table of figures"/>
    <w:basedOn w:val="a"/>
    <w:next w:val="a"/>
    <w:uiPriority w:val="99"/>
    <w:unhideWhenUsed/>
    <w:rsid w:val="00042DEB"/>
    <w:pPr>
      <w:spacing w:after="0"/>
    </w:pPr>
  </w:style>
  <w:style w:type="paragraph" w:customStyle="1" w:styleId="Heading1">
    <w:name w:val="Heading 1"/>
    <w:basedOn w:val="a"/>
    <w:next w:val="a"/>
    <w:link w:val="10"/>
    <w:uiPriority w:val="9"/>
    <w:qFormat/>
    <w:rsid w:val="00042D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21"/>
    <w:uiPriority w:val="9"/>
    <w:unhideWhenUsed/>
    <w:qFormat/>
    <w:rsid w:val="00042D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30"/>
    <w:uiPriority w:val="9"/>
    <w:semiHidden/>
    <w:unhideWhenUsed/>
    <w:qFormat/>
    <w:rsid w:val="00042D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40"/>
    <w:uiPriority w:val="9"/>
    <w:semiHidden/>
    <w:unhideWhenUsed/>
    <w:qFormat/>
    <w:rsid w:val="00042D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customStyle="1" w:styleId="Heading5">
    <w:name w:val="Heading 5"/>
    <w:basedOn w:val="a"/>
    <w:next w:val="a"/>
    <w:link w:val="50"/>
    <w:uiPriority w:val="9"/>
    <w:semiHidden/>
    <w:unhideWhenUsed/>
    <w:qFormat/>
    <w:rsid w:val="00042D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customStyle="1" w:styleId="Heading6">
    <w:name w:val="Heading 6"/>
    <w:basedOn w:val="a"/>
    <w:next w:val="a"/>
    <w:link w:val="60"/>
    <w:uiPriority w:val="9"/>
    <w:semiHidden/>
    <w:unhideWhenUsed/>
    <w:qFormat/>
    <w:rsid w:val="00042D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70"/>
    <w:uiPriority w:val="9"/>
    <w:semiHidden/>
    <w:unhideWhenUsed/>
    <w:qFormat/>
    <w:rsid w:val="00042D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customStyle="1" w:styleId="Heading8">
    <w:name w:val="Heading 8"/>
    <w:basedOn w:val="a"/>
    <w:next w:val="a"/>
    <w:link w:val="80"/>
    <w:uiPriority w:val="9"/>
    <w:semiHidden/>
    <w:unhideWhenUsed/>
    <w:qFormat/>
    <w:rsid w:val="00042D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90"/>
    <w:uiPriority w:val="9"/>
    <w:semiHidden/>
    <w:unhideWhenUsed/>
    <w:qFormat/>
    <w:rsid w:val="00042D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10">
    <w:name w:val="Заголовок 1 Знак"/>
    <w:basedOn w:val="a0"/>
    <w:link w:val="Heading1"/>
    <w:uiPriority w:val="9"/>
    <w:rsid w:val="00042D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1">
    <w:name w:val="Заголовок 2 Знак"/>
    <w:basedOn w:val="a0"/>
    <w:link w:val="Heading2"/>
    <w:uiPriority w:val="9"/>
    <w:rsid w:val="00042D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Heading3"/>
    <w:uiPriority w:val="9"/>
    <w:semiHidden/>
    <w:rsid w:val="00042D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Heading4"/>
    <w:uiPriority w:val="9"/>
    <w:semiHidden/>
    <w:rsid w:val="00042DE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Heading5"/>
    <w:uiPriority w:val="9"/>
    <w:semiHidden/>
    <w:rsid w:val="00042DE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Heading6"/>
    <w:uiPriority w:val="9"/>
    <w:semiHidden/>
    <w:rsid w:val="00042DE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Heading7"/>
    <w:uiPriority w:val="9"/>
    <w:semiHidden/>
    <w:rsid w:val="00042DE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Heading8"/>
    <w:uiPriority w:val="9"/>
    <w:semiHidden/>
    <w:rsid w:val="00042DE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Heading9"/>
    <w:uiPriority w:val="9"/>
    <w:semiHidden/>
    <w:rsid w:val="00042DEB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f0"/>
    <w:uiPriority w:val="10"/>
    <w:qFormat/>
    <w:rsid w:val="00042D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0">
    <w:name w:val="Название Знак"/>
    <w:basedOn w:val="a0"/>
    <w:link w:val="a4"/>
    <w:uiPriority w:val="10"/>
    <w:rsid w:val="00042DEB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5">
    <w:name w:val="Subtitle"/>
    <w:basedOn w:val="a"/>
    <w:next w:val="a"/>
    <w:link w:val="af1"/>
    <w:uiPriority w:val="11"/>
    <w:qFormat/>
    <w:rsid w:val="00042D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1">
    <w:name w:val="Подзаголовок Знак"/>
    <w:basedOn w:val="a0"/>
    <w:link w:val="a5"/>
    <w:uiPriority w:val="11"/>
    <w:rsid w:val="00042D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2"/>
    <w:uiPriority w:val="29"/>
    <w:qFormat/>
    <w:rsid w:val="00042D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"/>
    <w:uiPriority w:val="29"/>
    <w:rsid w:val="00042DEB"/>
    <w:rPr>
      <w:i/>
      <w:iCs/>
      <w:color w:val="404040" w:themeColor="text1" w:themeTint="BF"/>
    </w:rPr>
  </w:style>
  <w:style w:type="paragraph" w:styleId="af2">
    <w:name w:val="List Paragraph"/>
    <w:basedOn w:val="a"/>
    <w:link w:val="af3"/>
    <w:uiPriority w:val="34"/>
    <w:qFormat/>
    <w:rsid w:val="00042DEB"/>
    <w:pPr>
      <w:ind w:left="720"/>
      <w:contextualSpacing/>
    </w:pPr>
  </w:style>
  <w:style w:type="character" w:styleId="af4">
    <w:name w:val="Intense Emphasis"/>
    <w:basedOn w:val="a0"/>
    <w:uiPriority w:val="21"/>
    <w:qFormat/>
    <w:rsid w:val="00042DEB"/>
    <w:rPr>
      <w:i/>
      <w:iCs/>
      <w:color w:val="2F5496" w:themeColor="accent1" w:themeShade="BF"/>
    </w:rPr>
  </w:style>
  <w:style w:type="paragraph" w:styleId="a6">
    <w:name w:val="Intense Quote"/>
    <w:basedOn w:val="a"/>
    <w:next w:val="a"/>
    <w:link w:val="af5"/>
    <w:uiPriority w:val="30"/>
    <w:qFormat/>
    <w:rsid w:val="00042D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5">
    <w:name w:val="Выделенная цитата Знак"/>
    <w:basedOn w:val="a0"/>
    <w:link w:val="a6"/>
    <w:uiPriority w:val="30"/>
    <w:rsid w:val="00042DEB"/>
    <w:rPr>
      <w:i/>
      <w:iCs/>
      <w:color w:val="2F5496" w:themeColor="accent1" w:themeShade="BF"/>
    </w:rPr>
  </w:style>
  <w:style w:type="character" w:styleId="af6">
    <w:name w:val="Intense Reference"/>
    <w:basedOn w:val="a0"/>
    <w:uiPriority w:val="32"/>
    <w:qFormat/>
    <w:rsid w:val="00042DEB"/>
    <w:rPr>
      <w:b/>
      <w:bCs/>
      <w:smallCaps/>
      <w:color w:val="2F5496" w:themeColor="accent1" w:themeShade="BF"/>
      <w:spacing w:val="5"/>
    </w:rPr>
  </w:style>
  <w:style w:type="character" w:customStyle="1" w:styleId="af3">
    <w:name w:val="Абзац списка Знак"/>
    <w:basedOn w:val="a0"/>
    <w:link w:val="af2"/>
    <w:uiPriority w:val="34"/>
    <w:rsid w:val="00042DEB"/>
  </w:style>
  <w:style w:type="character" w:styleId="af7">
    <w:name w:val="Hyperlink"/>
    <w:basedOn w:val="a0"/>
    <w:uiPriority w:val="99"/>
    <w:rsid w:val="00042DEB"/>
    <w:rPr>
      <w:rFonts w:cs="Times New Roman"/>
      <w:color w:val="0000FF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42DEB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1CCCB0-0C22-4111-9F6E-986054442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1228</Words>
  <Characters>7005</Characters>
  <Application>Microsoft Office Word</Application>
  <DocSecurity>0</DocSecurity>
  <Lines>58</Lines>
  <Paragraphs>16</Paragraphs>
  <ScaleCrop>false</ScaleCrop>
  <Company/>
  <LinksUpToDate>false</LinksUpToDate>
  <CharactersWithSpaces>8217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Guseva</dc:creator>
  <cp:keywords/>
  <dc:description/>
  <cp:lastModifiedBy>Анастасия</cp:lastModifiedBy>
  <cp:revision>4</cp:revision>
  <dcterms:created xsi:type="dcterms:W3CDTF">2026-10-13T09:03:00Z</dcterms:created>
  <dcterms:modified xsi:type="dcterms:W3CDTF">2026-10-13T11:51:00Z</dcterms:modified>
</cp:coreProperties>
</file>