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97D" w:rsidRDefault="0037197D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bookmarkStart w:id="0" w:name="0.1_graphic02"/>
      <w:bookmarkEnd w:id="0"/>
      <w:r w:rsidRPr="0037197D">
        <w:rPr>
          <w:rFonts w:ascii="Times New Roman" w:hAnsi="Times New Roman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37197D">
        <w:rPr>
          <w:rFonts w:ascii="Times New Roman" w:hAnsi="Times New Roman"/>
          <w:lang w:eastAsia="ru-RU"/>
        </w:rPr>
        <w:pict>
          <v:shape id="_x0000_i0" o:spid="_x0000_i1025" type="#_x0000_t75" style="width:467.1pt;height:47.55pt;mso-wrap-distance-left:0;mso-wrap-distance-top:0;mso-wrap-distance-right:0;mso-wrap-distance-bottom:0">
            <v:imagedata r:id="rId7" o:title=""/>
            <v:path textboxrect="0,0,0,0"/>
          </v:shape>
        </w:pict>
      </w:r>
    </w:p>
    <w:p w:rsidR="0037197D" w:rsidRDefault="003719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37197D" w:rsidRDefault="003719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37197D" w:rsidRDefault="00885B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Итоговый семинар-2026 с участием представителя Банка России</w:t>
      </w:r>
    </w:p>
    <w:p w:rsidR="0037197D" w:rsidRDefault="00885BF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«Актуальные вопросы ПОД/ФТ в некредитных финансовых организациях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(НФО):</w:t>
      </w:r>
    </w:p>
    <w:p w:rsidR="0037197D" w:rsidRDefault="00885BF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итоги 2026 года и перспективы на 2027 год»</w:t>
      </w:r>
    </w:p>
    <w:p w:rsidR="0037197D" w:rsidRDefault="0037197D">
      <w:pPr>
        <w:spacing w:after="0" w:line="240" w:lineRule="auto"/>
        <w:rPr>
          <w:lang w:eastAsia="ru-RU"/>
        </w:rPr>
      </w:pPr>
    </w:p>
    <w:p w:rsidR="0037197D" w:rsidRDefault="00885BF6">
      <w:pPr>
        <w:tabs>
          <w:tab w:val="left" w:pos="142"/>
          <w:tab w:val="left" w:pos="1560"/>
        </w:tabs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Институт МФЦ приглашает принять участие в итоговом 2026 года</w:t>
      </w:r>
      <w:r>
        <w:rPr>
          <w:rFonts w:ascii="Times New Roman" w:hAnsi="Times New Roman"/>
          <w:sz w:val="24"/>
          <w:szCs w:val="24"/>
        </w:rPr>
        <w:t xml:space="preserve"> онлайн-семинаре «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Актуальные вопросы ПОД/ФТ в некредитных финансовых организациях (НФО):</w:t>
      </w:r>
      <w:r w:rsidR="00217CC6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итоги 2026 года и перспективы на 2027 год»</w:t>
      </w:r>
      <w:r>
        <w:rPr>
          <w:rFonts w:ascii="Times New Roman" w:hAnsi="Times New Roman"/>
          <w:sz w:val="24"/>
          <w:szCs w:val="24"/>
        </w:rPr>
        <w:t>, с участием представителя Банка России.</w:t>
      </w:r>
    </w:p>
    <w:p w:rsidR="0037197D" w:rsidRDefault="00885BF6">
      <w:pPr>
        <w:tabs>
          <w:tab w:val="left" w:pos="142"/>
          <w:tab w:val="left" w:pos="1560"/>
        </w:tabs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ставшем уже традиционном мероприятии, проводимом с представителем Банка России по </w:t>
      </w:r>
      <w:r>
        <w:rPr>
          <w:rFonts w:ascii="Times New Roman" w:hAnsi="Times New Roman"/>
          <w:sz w:val="24"/>
          <w:szCs w:val="24"/>
        </w:rPr>
        <w:t>итогам календарного года, в практическом ключе будут рассмотрены все актуальные вопросы ПОД/ФТ для НФО, а также ожидаемые новации следующего года.</w:t>
      </w:r>
    </w:p>
    <w:p w:rsidR="0037197D" w:rsidRDefault="0037197D">
      <w:pPr>
        <w:tabs>
          <w:tab w:val="left" w:pos="142"/>
          <w:tab w:val="left" w:pos="15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1"/>
        <w:tblW w:w="10632" w:type="dxa"/>
        <w:tblInd w:w="108" w:type="dxa"/>
        <w:tblLook w:val="04A0"/>
      </w:tblPr>
      <w:tblGrid>
        <w:gridCol w:w="10632"/>
      </w:tblGrid>
      <w:tr w:rsidR="0037197D">
        <w:tc>
          <w:tcPr>
            <w:tcW w:w="10632" w:type="dxa"/>
            <w:noWrap/>
          </w:tcPr>
          <w:p w:rsidR="0037197D" w:rsidRDefault="00885BF6">
            <w:pPr>
              <w:ind w:firstLine="3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2026 году противолегализационное законодательство Российской Федерации претерпело ряд существенных изменен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ий, в том числе: </w:t>
            </w:r>
          </w:p>
          <w:p w:rsidR="0037197D" w:rsidRDefault="00885BF6">
            <w:pPr>
              <w:pStyle w:val="af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комплексно усовершенствована система замораживания денежных средств лиц, связанных с терроризмом или распространением оружия массового уничтожения;</w:t>
            </w:r>
          </w:p>
          <w:p w:rsidR="0037197D" w:rsidRDefault="00885BF6">
            <w:pPr>
              <w:pStyle w:val="af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 законодательный каркас для регулирования операций с цифровой валютой и цифровыми пр</w:t>
            </w:r>
            <w:r>
              <w:rPr>
                <w:rFonts w:ascii="Times New Roman" w:hAnsi="Times New Roman"/>
                <w:sz w:val="24"/>
                <w:szCs w:val="24"/>
              </w:rPr>
              <w:t>авами, в том числе по вопросам ПОД/ФТ;</w:t>
            </w:r>
          </w:p>
          <w:p w:rsidR="0037197D" w:rsidRDefault="00885BF6">
            <w:pPr>
              <w:pStyle w:val="af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ужесточены требования по идентификации при дистанционном заключении договора потребительского кредита (займа);</w:t>
            </w:r>
          </w:p>
          <w:p w:rsidR="0037197D" w:rsidRDefault="00885BF6">
            <w:pPr>
              <w:pStyle w:val="af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Банком России изданы обновленные требования к целевым правилам внутреннего контроля.</w:t>
            </w:r>
          </w:p>
          <w:p w:rsidR="0037197D" w:rsidRDefault="00885BF6">
            <w:pPr>
              <w:ind w:firstLine="3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семинаре мы подвед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ем итоги по линии исполнения НФО требований по ПОД/ФТ в текущем 2026 году: </w:t>
            </w:r>
          </w:p>
          <w:p w:rsidR="0037197D" w:rsidRDefault="00885BF6">
            <w:pPr>
              <w:pStyle w:val="af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вспомним основной функционал субъектов финансового мониторинга по ПОД/ФТ; </w:t>
            </w:r>
          </w:p>
          <w:p w:rsidR="0037197D" w:rsidRDefault="00885BF6">
            <w:pPr>
              <w:pStyle w:val="af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проверим, все ли нормативные изменения учтены НФО в текущей деятельности (актуализированы ли ПВК, проведен целевой внеплановый инструктаж с сотрудниками и др.);</w:t>
            </w:r>
          </w:p>
          <w:p w:rsidR="0037197D" w:rsidRDefault="00885BF6">
            <w:pPr>
              <w:pStyle w:val="af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обсудим основные события в сфере ПОД/ФТ, а также планируемые изменения в Федеральный закон № 11</w:t>
            </w:r>
            <w:r>
              <w:rPr>
                <w:rFonts w:ascii="Times New Roman" w:hAnsi="Times New Roman"/>
                <w:sz w:val="24"/>
                <w:szCs w:val="24"/>
              </w:rPr>
              <w:t>5-ФЗ в 2027 году и подзаконные акты;</w:t>
            </w:r>
          </w:p>
          <w:p w:rsidR="0037197D" w:rsidRDefault="00885BF6">
            <w:pPr>
              <w:pStyle w:val="af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разберем актуальные вопросы, возникающие у НФО в практической деятельности при исполнении требований противолегализационного законодательства.</w:t>
            </w:r>
          </w:p>
          <w:p w:rsidR="0037197D" w:rsidRDefault="00885BF6">
            <w:pPr>
              <w:ind w:firstLine="3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семинаре также будет рассмотрена практика применения НФО требований закон</w:t>
            </w:r>
            <w:r>
              <w:rPr>
                <w:rFonts w:ascii="Times New Roman" w:hAnsi="Times New Roman"/>
                <w:sz w:val="24"/>
                <w:szCs w:val="24"/>
              </w:rPr>
              <w:t>одательства в сфере ПОД/ФТ.</w:t>
            </w:r>
          </w:p>
          <w:p w:rsidR="0037197D" w:rsidRDefault="00885BF6">
            <w:pPr>
              <w:ind w:firstLine="3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Категория слушателей: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сотрудники поднадзорных Банку России некредитных финансовых организаций, прошедшие обучение в форме целевого инструктажа (негосударственные пенсионные фонды, профессиональные участники рынка ценных бумаг, 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правляющие компании, операторы инвестиционных платформ, ломбарды, кредитные потребительские кооперативы, микрофинансовые организации, страховые организации, страховые брокеры, общества взаимного страхования, операторы финансовых платформ, операторы обмена </w:t>
            </w:r>
            <w:r>
              <w:rPr>
                <w:rFonts w:ascii="Times New Roman" w:hAnsi="Times New Roman"/>
                <w:sz w:val="24"/>
                <w:szCs w:val="24"/>
              </w:rPr>
              <w:t>цифровых финансовых активов, операторы информационных систем, в которых осуществляется выпуск цифровых валют, цифровые депозитарии, операторы по приему платежей).</w:t>
            </w:r>
          </w:p>
          <w:p w:rsidR="0037197D" w:rsidRDefault="00885BF6">
            <w:pPr>
              <w:ind w:firstLine="3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Зарегистрированные участники могут заблаговременно направить тематические вопросы, которые бу</w:t>
            </w:r>
            <w:r>
              <w:rPr>
                <w:rFonts w:ascii="Times New Roman" w:hAnsi="Times New Roman"/>
                <w:sz w:val="24"/>
                <w:szCs w:val="24"/>
              </w:rPr>
              <w:t>дут рассмотрены на семинаре.</w:t>
            </w:r>
          </w:p>
          <w:p w:rsidR="0037197D" w:rsidRDefault="00885BF6">
            <w:pPr>
              <w:ind w:firstLine="34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Участникам семинара будут предоставлены «Памятка по ПОД/ФТ» (выдержка из презентации преподавателя) и подборка актуальных документов по ПОД/ФТ.</w:t>
            </w:r>
          </w:p>
          <w:p w:rsidR="0037197D" w:rsidRDefault="00885BF6">
            <w:pPr>
              <w:ind w:firstLine="344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Участникам семинара будет выдано свидетельство о повышении квалификации (плановом инструктаже).</w:t>
            </w:r>
          </w:p>
        </w:tc>
      </w:tr>
    </w:tbl>
    <w:p w:rsidR="0037197D" w:rsidRDefault="00885BF6">
      <w:pPr>
        <w:ind w:firstLine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программе семинара:</w:t>
      </w:r>
    </w:p>
    <w:p w:rsidR="0037197D" w:rsidRDefault="00885BF6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Обзор основных событий в сфере ПОД/ФТ/ЭД в 2026 году и новаций, вступающих в силу в 2027 году.</w:t>
      </w:r>
    </w:p>
    <w:p w:rsidR="0037197D" w:rsidRDefault="00885BF6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 Обзор вступивших в силу в 2026 году </w:t>
      </w:r>
      <w:r>
        <w:rPr>
          <w:rFonts w:ascii="Times New Roman" w:hAnsi="Times New Roman"/>
          <w:sz w:val="24"/>
          <w:szCs w:val="24"/>
        </w:rPr>
        <w:t>изменений в Федеральный закон от 07.08.2001 № 115-ФЗ «О противодействии легализации (отмыванию) доходов, полученных преступным путем, и финансированию терроризма», касающихся деятельности НФО в сфере ПОД/ФТ и актуальных законопроектов на дату семинара.</w:t>
      </w:r>
    </w:p>
    <w:p w:rsidR="0037197D" w:rsidRDefault="00885BF6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>Обзор законодательства о цифровых валютах и цифровых правах.</w:t>
      </w:r>
    </w:p>
    <w:p w:rsidR="0037197D" w:rsidRDefault="00885B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Обзор вступивших в силу в 2026 году изменений в нормативные акты Банка России по ПОД/ФТ для НФО, и актуальных проектов на дату семинара.</w:t>
      </w:r>
    </w:p>
    <w:p w:rsidR="0037197D" w:rsidRDefault="00885B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Обзор вступивших в силу в 2026 году изменений в норм</w:t>
      </w:r>
      <w:r>
        <w:rPr>
          <w:rFonts w:ascii="Times New Roman" w:hAnsi="Times New Roman"/>
          <w:sz w:val="24"/>
          <w:szCs w:val="24"/>
        </w:rPr>
        <w:t>ативные акты Росфинмониторинга, положения которых распространяются на НФО, и актуальных проектов на дату семинара.</w:t>
      </w:r>
    </w:p>
    <w:p w:rsidR="0037197D" w:rsidRDefault="00885B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Практические вопросы, возникающие у НФО при проведении идентификации, включая проведение проверки паспортных данных, возможных видов и спо</w:t>
      </w:r>
      <w:r>
        <w:rPr>
          <w:rFonts w:ascii="Times New Roman" w:hAnsi="Times New Roman"/>
          <w:sz w:val="24"/>
          <w:szCs w:val="24"/>
        </w:rPr>
        <w:t>собов идентификации, взаимодействия с клиентов и т.п.</w:t>
      </w:r>
    </w:p>
    <w:p w:rsidR="0037197D" w:rsidRDefault="00885B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Операции обязательного контроля: обзор актуальных позиций Банка России в части вопросов НФО по представлению сведений в уполномоченный орган (в том числе операции с криптой, операции НКО). </w:t>
      </w:r>
    </w:p>
    <w:p w:rsidR="0037197D" w:rsidRDefault="00885BF6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Порядок применения мер по замораживанию (блокированию) денежных средств или имущества.</w:t>
      </w:r>
    </w:p>
    <w:p w:rsidR="0037197D" w:rsidRDefault="00885B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Практические вопросы, возникающие у НФО при работе с Перечнями экстремистов, решениями МКО, решениями Совбеза ООН (в том числе различие требований в части «проверк</w:t>
      </w:r>
      <w:r>
        <w:rPr>
          <w:rFonts w:ascii="Times New Roman" w:hAnsi="Times New Roman"/>
          <w:sz w:val="24"/>
          <w:szCs w:val="24"/>
        </w:rPr>
        <w:t>и клиентов» и «сверки клиентов»).</w:t>
      </w:r>
    </w:p>
    <w:p w:rsidR="0037197D" w:rsidRDefault="00885B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Основания для приостановления операций с денежными средствами или иным имуществом.</w:t>
      </w:r>
    </w:p>
    <w:p w:rsidR="0037197D" w:rsidRDefault="00885B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Отказ клиенту в проведении операции или в приеме на обслуживание: как быть, если клиент не представил запрошенные сведения или его </w:t>
      </w:r>
      <w:r>
        <w:rPr>
          <w:rFonts w:ascii="Times New Roman" w:hAnsi="Times New Roman"/>
          <w:sz w:val="24"/>
          <w:szCs w:val="24"/>
        </w:rPr>
        <w:t>паспорт недействителен.</w:t>
      </w:r>
    </w:p>
    <w:p w:rsidR="0037197D" w:rsidRDefault="00885B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Организация системы внутреннего контроля по ПОД/ФТ:</w:t>
      </w:r>
    </w:p>
    <w:p w:rsidR="0037197D" w:rsidRDefault="00885BF6">
      <w:pPr>
        <w:pStyle w:val="af3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запрет на информирование клиентов и иных лиц о принятых мерах по ПОД/ФТ: какие сведения могут быть представлены третьим лицам (например, аудиторам, участникам, акционерам);</w:t>
      </w:r>
    </w:p>
    <w:p w:rsidR="0037197D" w:rsidRDefault="00885BF6">
      <w:pPr>
        <w:pStyle w:val="af3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</w:t>
      </w:r>
      <w:r>
        <w:rPr>
          <w:rFonts w:ascii="Times New Roman" w:hAnsi="Times New Roman"/>
          <w:sz w:val="24"/>
          <w:szCs w:val="24"/>
        </w:rPr>
        <w:t>се об СДЛ;</w:t>
      </w:r>
    </w:p>
    <w:p w:rsidR="0037197D" w:rsidRDefault="00885BF6">
      <w:pPr>
        <w:pStyle w:val="af3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особенности разработки ПВК по ПОД/ФТ: практические рекомендации по содержанию некоторых программ, внедрение в ПВК сферы, связанной с противодействием финансированию ЭД;</w:t>
      </w:r>
    </w:p>
    <w:p w:rsidR="0037197D" w:rsidRDefault="00885BF6">
      <w:pPr>
        <w:pStyle w:val="af3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подготовка и обучение сотрудников НФО по ПОД/ФТ с учетом изменений в требо</w:t>
      </w:r>
      <w:r>
        <w:rPr>
          <w:rFonts w:ascii="Times New Roman" w:hAnsi="Times New Roman"/>
          <w:sz w:val="24"/>
          <w:szCs w:val="24"/>
        </w:rPr>
        <w:t>вания Банка России.</w:t>
      </w:r>
    </w:p>
    <w:p w:rsidR="0037197D" w:rsidRDefault="00885B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 Обзор типовых недостатков по линии ПОД/ФТ, допускаемых НФО.</w:t>
      </w:r>
    </w:p>
    <w:p w:rsidR="0037197D" w:rsidRDefault="00885B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 Ответы на вопросы слушателей семинара.</w:t>
      </w:r>
    </w:p>
    <w:p w:rsidR="0037197D" w:rsidRDefault="0037197D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</w:p>
    <w:p w:rsidR="0037197D" w:rsidRDefault="00885BF6">
      <w:pPr>
        <w:spacing w:after="100" w:afterAutospacing="1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семинаре выступит эксперт-практик с многолетним опытом работы в сфере ПОД/ФТ, представитель Департамента финансового монитори</w:t>
      </w:r>
      <w:r>
        <w:rPr>
          <w:rFonts w:ascii="Times New Roman" w:hAnsi="Times New Roman"/>
          <w:b/>
          <w:sz w:val="24"/>
          <w:szCs w:val="24"/>
        </w:rPr>
        <w:t>нга и валютного контроля Банка России.</w:t>
      </w:r>
    </w:p>
    <w:p w:rsidR="0037197D" w:rsidRDefault="0037197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1" w:name="_GoBack"/>
      <w:bookmarkEnd w:id="1"/>
    </w:p>
    <w:p w:rsidR="0037197D" w:rsidRDefault="00885B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Стоимость</w:t>
      </w:r>
      <w:r>
        <w:rPr>
          <w:rFonts w:ascii="Times New Roman" w:hAnsi="Times New Roman"/>
          <w:sz w:val="24"/>
          <w:szCs w:val="24"/>
        </w:rPr>
        <w:t xml:space="preserve"> участия в онлайн-семинаре для одного участника составляет 8 000 (восемь тысяч рублей), НДС не облагается. Скидка в разме</w:t>
      </w:r>
      <w:r w:rsidR="00217CC6">
        <w:rPr>
          <w:rFonts w:ascii="Times New Roman" w:hAnsi="Times New Roman"/>
          <w:sz w:val="24"/>
          <w:szCs w:val="24"/>
        </w:rPr>
        <w:t>ре 10 процентов предоставляются</w:t>
      </w:r>
      <w:r>
        <w:rPr>
          <w:rFonts w:ascii="Times New Roman" w:hAnsi="Times New Roman"/>
          <w:sz w:val="24"/>
          <w:szCs w:val="24"/>
        </w:rPr>
        <w:t xml:space="preserve"> начиная со второго участника от одной организации.</w:t>
      </w:r>
    </w:p>
    <w:p w:rsidR="0037197D" w:rsidRDefault="0037197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7197D" w:rsidRDefault="00885B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</w:t>
      </w:r>
      <w:r>
        <w:rPr>
          <w:rFonts w:ascii="Times New Roman" w:hAnsi="Times New Roman"/>
          <w:b/>
          <w:sz w:val="24"/>
          <w:szCs w:val="24"/>
        </w:rPr>
        <w:t>аявки на участие направлять до 21</w:t>
      </w:r>
      <w:r w:rsidR="00217CC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декабря 2026 года</w:t>
      </w:r>
      <w:r w:rsidR="00217CC6">
        <w:rPr>
          <w:rFonts w:ascii="Times New Roman" w:hAnsi="Times New Roman"/>
          <w:sz w:val="24"/>
          <w:szCs w:val="24"/>
        </w:rPr>
        <w:t xml:space="preserve"> включительно Левиной Марине</w:t>
      </w:r>
      <w:r>
        <w:rPr>
          <w:rFonts w:ascii="Times New Roman" w:hAnsi="Times New Roman"/>
          <w:sz w:val="24"/>
          <w:szCs w:val="24"/>
        </w:rPr>
        <w:t xml:space="preserve"> — </w:t>
      </w:r>
      <w:hyperlink r:id="rId8" w:tooltip="mailto:fcsm@educenter.ru" w:history="1">
        <w:r>
          <w:rPr>
            <w:rStyle w:val="af2"/>
            <w:rFonts w:ascii="Times New Roman" w:hAnsi="Times New Roman"/>
            <w:sz w:val="24"/>
            <w:szCs w:val="24"/>
            <w:lang w:eastAsia="ru-RU"/>
          </w:rPr>
          <w:t>fcsm@educenter.ru</w:t>
        </w:r>
      </w:hyperlink>
      <w:r>
        <w:rPr>
          <w:rFonts w:ascii="Times New Roman" w:hAnsi="Times New Roman"/>
          <w:sz w:val="24"/>
          <w:szCs w:val="24"/>
        </w:rPr>
        <w:t>,</w:t>
      </w:r>
      <w:r w:rsidR="00217C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или Шуваевой Марии </w:t>
      </w:r>
      <w:hyperlink r:id="rId9" w:tooltip="mailto:seminar2@educenter.ru" w:history="1">
        <w:r>
          <w:rPr>
            <w:rStyle w:val="af2"/>
            <w:rFonts w:ascii="Times New Roman" w:hAnsi="Times New Roman"/>
            <w:sz w:val="24"/>
            <w:szCs w:val="24"/>
            <w:lang w:eastAsia="ru-RU"/>
          </w:rPr>
          <w:t>seminar2@educenter.ru</w:t>
        </w:r>
      </w:hyperlink>
      <w:r w:rsidR="00217CC6">
        <w:t xml:space="preserve"> </w:t>
      </w:r>
      <w:r>
        <w:rPr>
          <w:rFonts w:ascii="Times New Roman" w:hAnsi="Times New Roman"/>
          <w:sz w:val="24"/>
          <w:szCs w:val="24"/>
        </w:rPr>
        <w:t xml:space="preserve">тел./ф. +7(495) 921-22-73 (многоканальный), </w:t>
      </w:r>
      <w:hyperlink r:id="rId10" w:tooltip="http://www.educenter.ru" w:history="1">
        <w:r>
          <w:rPr>
            <w:rStyle w:val="af2"/>
            <w:rFonts w:ascii="Times New Roman" w:hAnsi="Times New Roman"/>
            <w:sz w:val="24"/>
            <w:szCs w:val="24"/>
            <w:lang w:val="en-US"/>
          </w:rPr>
          <w:t>www</w:t>
        </w:r>
        <w:r>
          <w:rPr>
            <w:rStyle w:val="af2"/>
            <w:rFonts w:ascii="Times New Roman" w:hAnsi="Times New Roman"/>
            <w:sz w:val="24"/>
            <w:szCs w:val="24"/>
          </w:rPr>
          <w:t>.</w:t>
        </w:r>
        <w:r>
          <w:rPr>
            <w:rStyle w:val="af2"/>
            <w:rFonts w:ascii="Times New Roman" w:hAnsi="Times New Roman"/>
            <w:sz w:val="24"/>
            <w:szCs w:val="24"/>
            <w:lang w:val="en-US"/>
          </w:rPr>
          <w:t>educenter</w:t>
        </w:r>
        <w:r>
          <w:rPr>
            <w:rStyle w:val="af2"/>
            <w:rFonts w:ascii="Times New Roman" w:hAnsi="Times New Roman"/>
            <w:sz w:val="24"/>
            <w:szCs w:val="24"/>
          </w:rPr>
          <w:t>.</w:t>
        </w:r>
        <w:r>
          <w:rPr>
            <w:rStyle w:val="af2"/>
            <w:rFonts w:ascii="Times New Roman" w:hAnsi="Times New Roman"/>
            <w:sz w:val="24"/>
            <w:szCs w:val="24"/>
            <w:lang w:val="en-US"/>
          </w:rPr>
          <w:t>ru</w:t>
        </w:r>
      </w:hyperlink>
    </w:p>
    <w:sectPr w:rsidR="0037197D" w:rsidSect="0037197D">
      <w:footerReference w:type="default" r:id="rId11"/>
      <w:pgSz w:w="11906" w:h="16838"/>
      <w:pgMar w:top="709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5BF6" w:rsidRDefault="00885BF6">
      <w:pPr>
        <w:spacing w:after="0" w:line="240" w:lineRule="auto"/>
      </w:pPr>
      <w:r>
        <w:separator/>
      </w:r>
    </w:p>
  </w:endnote>
  <w:endnote w:type="continuationSeparator" w:id="1">
    <w:p w:rsidR="00885BF6" w:rsidRDefault="00885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7D" w:rsidRDefault="0037197D">
    <w:pPr>
      <w:pStyle w:val="Foot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 w:rsidR="00885BF6"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 w:rsidR="00217CC6">
      <w:rPr>
        <w:rFonts w:ascii="Times New Roman" w:hAnsi="Times New Roman"/>
        <w:noProof/>
        <w:sz w:val="24"/>
        <w:szCs w:val="24"/>
      </w:rPr>
      <w:t>2</w:t>
    </w:r>
    <w:r>
      <w:rPr>
        <w:rFonts w:ascii="Times New Roman" w:hAnsi="Times New Roman"/>
        <w:sz w:val="24"/>
        <w:szCs w:val="24"/>
      </w:rPr>
      <w:fldChar w:fldCharType="end"/>
    </w:r>
  </w:p>
  <w:p w:rsidR="0037197D" w:rsidRDefault="0037197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5BF6" w:rsidRDefault="00885BF6">
      <w:pPr>
        <w:spacing w:after="0" w:line="240" w:lineRule="auto"/>
      </w:pPr>
      <w:r>
        <w:separator/>
      </w:r>
    </w:p>
  </w:footnote>
  <w:footnote w:type="continuationSeparator" w:id="1">
    <w:p w:rsidR="00885BF6" w:rsidRDefault="00885B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C0D7B"/>
    <w:multiLevelType w:val="hybridMultilevel"/>
    <w:tmpl w:val="D8887978"/>
    <w:lvl w:ilvl="0" w:tplc="78EEB8E6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8AE156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C9A656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57EDD4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1AC34A2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C922A6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96484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2FE9F86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69C04FA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8B95DB8"/>
    <w:multiLevelType w:val="hybridMultilevel"/>
    <w:tmpl w:val="854C1342"/>
    <w:lvl w:ilvl="0" w:tplc="4352F05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BAE91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5886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7CD9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AA8B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2A80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1035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064A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CEDA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7197D"/>
    <w:rsid w:val="00217CC6"/>
    <w:rsid w:val="0037197D"/>
    <w:rsid w:val="00885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97D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link w:val="Heading2"/>
    <w:uiPriority w:val="9"/>
    <w:rsid w:val="0037197D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37197D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37197D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37197D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37197D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37197D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37197D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TitleChar">
    <w:name w:val="Title Char"/>
    <w:basedOn w:val="a0"/>
    <w:link w:val="a3"/>
    <w:uiPriority w:val="10"/>
    <w:rsid w:val="0037197D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37197D"/>
    <w:rPr>
      <w:sz w:val="24"/>
      <w:szCs w:val="24"/>
    </w:rPr>
  </w:style>
  <w:style w:type="character" w:customStyle="1" w:styleId="QuoteChar">
    <w:name w:val="Quote Char"/>
    <w:link w:val="2"/>
    <w:uiPriority w:val="29"/>
    <w:rsid w:val="0037197D"/>
    <w:rPr>
      <w:i/>
    </w:rPr>
  </w:style>
  <w:style w:type="character" w:customStyle="1" w:styleId="IntenseQuoteChar">
    <w:name w:val="Intense Quote Char"/>
    <w:link w:val="a5"/>
    <w:uiPriority w:val="30"/>
    <w:rsid w:val="0037197D"/>
    <w:rPr>
      <w:i/>
    </w:rPr>
  </w:style>
  <w:style w:type="character" w:customStyle="1" w:styleId="EndnoteTextChar">
    <w:name w:val="Endnote Text Char"/>
    <w:link w:val="a6"/>
    <w:uiPriority w:val="99"/>
    <w:rsid w:val="0037197D"/>
    <w:rPr>
      <w:sz w:val="20"/>
    </w:rPr>
  </w:style>
  <w:style w:type="paragraph" w:customStyle="1" w:styleId="Heading1">
    <w:name w:val="Heading 1"/>
    <w:basedOn w:val="a"/>
    <w:next w:val="a"/>
    <w:link w:val="1"/>
    <w:uiPriority w:val="9"/>
    <w:qFormat/>
    <w:rsid w:val="0037197D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a"/>
    <w:next w:val="a"/>
    <w:link w:val="20"/>
    <w:uiPriority w:val="9"/>
    <w:unhideWhenUsed/>
    <w:qFormat/>
    <w:rsid w:val="0037197D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37197D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37197D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37197D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37197D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37197D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37197D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9"/>
    <w:uiPriority w:val="99"/>
    <w:qFormat/>
    <w:rsid w:val="0037197D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customStyle="1" w:styleId="Heading1Char">
    <w:name w:val="Heading 1 Char"/>
    <w:basedOn w:val="a0"/>
    <w:uiPriority w:val="9"/>
    <w:rsid w:val="0037197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Heading2"/>
    <w:uiPriority w:val="9"/>
    <w:rsid w:val="0037197D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Heading3"/>
    <w:uiPriority w:val="9"/>
    <w:rsid w:val="0037197D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Heading4"/>
    <w:uiPriority w:val="9"/>
    <w:rsid w:val="0037197D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Heading5"/>
    <w:uiPriority w:val="9"/>
    <w:rsid w:val="0037197D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Heading6"/>
    <w:uiPriority w:val="9"/>
    <w:rsid w:val="0037197D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Heading7"/>
    <w:uiPriority w:val="9"/>
    <w:rsid w:val="0037197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Heading8"/>
    <w:uiPriority w:val="9"/>
    <w:rsid w:val="0037197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37197D"/>
    <w:rPr>
      <w:rFonts w:ascii="Arial" w:eastAsia="Arial" w:hAnsi="Arial" w:cs="Arial"/>
      <w:i/>
      <w:iCs/>
      <w:sz w:val="21"/>
      <w:szCs w:val="21"/>
    </w:rPr>
  </w:style>
  <w:style w:type="paragraph" w:styleId="a7">
    <w:name w:val="No Spacing"/>
    <w:uiPriority w:val="1"/>
    <w:qFormat/>
    <w:rsid w:val="0037197D"/>
    <w:pPr>
      <w:spacing w:after="0" w:line="240" w:lineRule="auto"/>
    </w:pPr>
  </w:style>
  <w:style w:type="paragraph" w:styleId="a3">
    <w:name w:val="Title"/>
    <w:basedOn w:val="a"/>
    <w:next w:val="a"/>
    <w:link w:val="a8"/>
    <w:uiPriority w:val="10"/>
    <w:qFormat/>
    <w:rsid w:val="0037197D"/>
    <w:pPr>
      <w:spacing w:before="3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3"/>
    <w:uiPriority w:val="10"/>
    <w:rsid w:val="0037197D"/>
    <w:rPr>
      <w:sz w:val="48"/>
      <w:szCs w:val="48"/>
    </w:rPr>
  </w:style>
  <w:style w:type="paragraph" w:styleId="a4">
    <w:name w:val="Subtitle"/>
    <w:basedOn w:val="a"/>
    <w:next w:val="a"/>
    <w:link w:val="a9"/>
    <w:uiPriority w:val="11"/>
    <w:qFormat/>
    <w:rsid w:val="0037197D"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4"/>
    <w:uiPriority w:val="11"/>
    <w:rsid w:val="0037197D"/>
    <w:rPr>
      <w:sz w:val="24"/>
      <w:szCs w:val="24"/>
    </w:rPr>
  </w:style>
  <w:style w:type="paragraph" w:styleId="2">
    <w:name w:val="Quote"/>
    <w:basedOn w:val="a"/>
    <w:next w:val="a"/>
    <w:link w:val="21"/>
    <w:uiPriority w:val="29"/>
    <w:qFormat/>
    <w:rsid w:val="0037197D"/>
    <w:pPr>
      <w:ind w:left="720" w:right="720"/>
    </w:pPr>
    <w:rPr>
      <w:i/>
    </w:rPr>
  </w:style>
  <w:style w:type="character" w:customStyle="1" w:styleId="21">
    <w:name w:val="Цитата 2 Знак"/>
    <w:link w:val="2"/>
    <w:uiPriority w:val="29"/>
    <w:rsid w:val="0037197D"/>
    <w:rPr>
      <w:i/>
    </w:rPr>
  </w:style>
  <w:style w:type="paragraph" w:styleId="a5">
    <w:name w:val="Intense Quote"/>
    <w:basedOn w:val="a"/>
    <w:next w:val="a"/>
    <w:link w:val="aa"/>
    <w:uiPriority w:val="30"/>
    <w:qFormat/>
    <w:rsid w:val="0037197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5"/>
    <w:uiPriority w:val="30"/>
    <w:rsid w:val="0037197D"/>
    <w:rPr>
      <w:i/>
    </w:rPr>
  </w:style>
  <w:style w:type="character" w:customStyle="1" w:styleId="HeaderChar">
    <w:name w:val="Header Char"/>
    <w:basedOn w:val="a0"/>
    <w:uiPriority w:val="99"/>
    <w:rsid w:val="0037197D"/>
  </w:style>
  <w:style w:type="character" w:customStyle="1" w:styleId="FooterChar">
    <w:name w:val="Footer Char"/>
    <w:basedOn w:val="a0"/>
    <w:uiPriority w:val="99"/>
    <w:rsid w:val="0037197D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37197D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37197D"/>
  </w:style>
  <w:style w:type="table" w:customStyle="1" w:styleId="TableGridLight">
    <w:name w:val="Table Grid Light"/>
    <w:basedOn w:val="a1"/>
    <w:uiPriority w:val="59"/>
    <w:rsid w:val="0037197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7197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3719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719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719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719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719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719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719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719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719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719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719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719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719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719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719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719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37197D"/>
    <w:rPr>
      <w:sz w:val="18"/>
    </w:rPr>
  </w:style>
  <w:style w:type="paragraph" w:styleId="a6">
    <w:name w:val="endnote text"/>
    <w:basedOn w:val="a"/>
    <w:link w:val="ab"/>
    <w:uiPriority w:val="99"/>
    <w:semiHidden/>
    <w:unhideWhenUsed/>
    <w:rsid w:val="0037197D"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6"/>
    <w:uiPriority w:val="99"/>
    <w:rsid w:val="0037197D"/>
    <w:rPr>
      <w:sz w:val="20"/>
    </w:rPr>
  </w:style>
  <w:style w:type="character" w:styleId="ac">
    <w:name w:val="endnote reference"/>
    <w:basedOn w:val="a0"/>
    <w:uiPriority w:val="99"/>
    <w:semiHidden/>
    <w:unhideWhenUsed/>
    <w:rsid w:val="0037197D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37197D"/>
    <w:pPr>
      <w:spacing w:after="57"/>
    </w:pPr>
  </w:style>
  <w:style w:type="paragraph" w:styleId="22">
    <w:name w:val="toc 2"/>
    <w:basedOn w:val="a"/>
    <w:next w:val="a"/>
    <w:uiPriority w:val="39"/>
    <w:unhideWhenUsed/>
    <w:rsid w:val="0037197D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37197D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37197D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37197D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37197D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37197D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37197D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37197D"/>
    <w:pPr>
      <w:spacing w:after="57"/>
      <w:ind w:left="2268"/>
    </w:pPr>
  </w:style>
  <w:style w:type="paragraph" w:styleId="ad">
    <w:name w:val="TOC Heading"/>
    <w:uiPriority w:val="39"/>
    <w:unhideWhenUsed/>
    <w:rsid w:val="0037197D"/>
  </w:style>
  <w:style w:type="paragraph" w:styleId="ae">
    <w:name w:val="table of figures"/>
    <w:basedOn w:val="a"/>
    <w:next w:val="a"/>
    <w:uiPriority w:val="99"/>
    <w:unhideWhenUsed/>
    <w:rsid w:val="0037197D"/>
    <w:pPr>
      <w:spacing w:after="0"/>
    </w:pPr>
  </w:style>
  <w:style w:type="character" w:customStyle="1" w:styleId="1">
    <w:name w:val="Заголовок 1 Знак"/>
    <w:basedOn w:val="a0"/>
    <w:link w:val="Heading1"/>
    <w:uiPriority w:val="9"/>
    <w:rsid w:val="0037197D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">
    <w:name w:val="Заголовок 9 Знак"/>
    <w:basedOn w:val="a0"/>
    <w:link w:val="Heading9"/>
    <w:uiPriority w:val="99"/>
    <w:rsid w:val="0037197D"/>
    <w:rPr>
      <w:rFonts w:ascii="Arial" w:hAnsi="Arial" w:cs="Arial"/>
      <w:b/>
      <w:bCs/>
      <w:sz w:val="18"/>
      <w:szCs w:val="18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371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7197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37197D"/>
    <w:pPr>
      <w:widowControl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f1">
    <w:name w:val="Table Grid"/>
    <w:basedOn w:val="a1"/>
    <w:uiPriority w:val="59"/>
    <w:rsid w:val="0037197D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rsid w:val="0037197D"/>
    <w:rPr>
      <w:rFonts w:cs="Times New Roman"/>
      <w:color w:val="0000FF"/>
      <w:u w:val="single"/>
    </w:rPr>
  </w:style>
  <w:style w:type="paragraph" w:styleId="af3">
    <w:name w:val="List Paragraph"/>
    <w:basedOn w:val="a"/>
    <w:uiPriority w:val="34"/>
    <w:qFormat/>
    <w:rsid w:val="0037197D"/>
    <w:pPr>
      <w:ind w:left="720"/>
      <w:contextualSpacing/>
    </w:pPr>
  </w:style>
  <w:style w:type="paragraph" w:customStyle="1" w:styleId="af4">
    <w:name w:val="Знак Знак Знак Знак"/>
    <w:basedOn w:val="a"/>
    <w:uiPriority w:val="99"/>
    <w:rsid w:val="0037197D"/>
    <w:pPr>
      <w:tabs>
        <w:tab w:val="num" w:pos="360"/>
      </w:tabs>
      <w:spacing w:after="160" w:line="240" w:lineRule="exact"/>
    </w:pPr>
    <w:rPr>
      <w:rFonts w:ascii="Times New Roman" w:hAnsi="Times New Roman"/>
      <w:sz w:val="24"/>
      <w:szCs w:val="24"/>
      <w:lang w:val="en-US" w:eastAsia="ru-RU"/>
    </w:rPr>
  </w:style>
  <w:style w:type="paragraph" w:customStyle="1" w:styleId="Header">
    <w:name w:val="Header"/>
    <w:basedOn w:val="a"/>
    <w:link w:val="af5"/>
    <w:uiPriority w:val="99"/>
    <w:unhideWhenUsed/>
    <w:rsid w:val="003719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Header"/>
    <w:uiPriority w:val="99"/>
    <w:rsid w:val="0037197D"/>
    <w:rPr>
      <w:rFonts w:cs="Times New Roman"/>
    </w:rPr>
  </w:style>
  <w:style w:type="paragraph" w:customStyle="1" w:styleId="Footer">
    <w:name w:val="Footer"/>
    <w:basedOn w:val="a"/>
    <w:link w:val="af6"/>
    <w:uiPriority w:val="99"/>
    <w:unhideWhenUsed/>
    <w:rsid w:val="003719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Footer"/>
    <w:uiPriority w:val="99"/>
    <w:rsid w:val="0037197D"/>
    <w:rPr>
      <w:rFonts w:cs="Times New Roman"/>
    </w:rPr>
  </w:style>
  <w:style w:type="character" w:customStyle="1" w:styleId="googqs-tidbit">
    <w:name w:val="goog_qs-tidbit"/>
    <w:basedOn w:val="a0"/>
    <w:rsid w:val="0037197D"/>
    <w:rPr>
      <w:rFonts w:cs="Times New Roman"/>
    </w:rPr>
  </w:style>
  <w:style w:type="paragraph" w:styleId="af7">
    <w:name w:val="Normal (Web)"/>
    <w:basedOn w:val="a"/>
    <w:uiPriority w:val="99"/>
    <w:rsid w:val="0037197D"/>
    <w:pPr>
      <w:spacing w:before="100" w:beforeAutospacing="1" w:after="100" w:afterAutospacing="1" w:line="240" w:lineRule="auto"/>
    </w:pPr>
    <w:rPr>
      <w:rFonts w:ascii="Verdana" w:hAnsi="Verdana"/>
      <w:color w:val="000000"/>
      <w:sz w:val="17"/>
      <w:szCs w:val="17"/>
      <w:lang w:eastAsia="ru-RU"/>
    </w:rPr>
  </w:style>
  <w:style w:type="character" w:customStyle="1" w:styleId="grey1">
    <w:name w:val="grey1"/>
    <w:basedOn w:val="a0"/>
    <w:rsid w:val="0037197D"/>
    <w:rPr>
      <w:rFonts w:ascii="Verdana" w:hAnsi="Verdana" w:cs="Times New Roman"/>
      <w:color w:val="636363"/>
      <w:sz w:val="17"/>
      <w:szCs w:val="17"/>
    </w:rPr>
  </w:style>
  <w:style w:type="paragraph" w:styleId="af8">
    <w:name w:val="Body Text"/>
    <w:basedOn w:val="a"/>
    <w:link w:val="af9"/>
    <w:uiPriority w:val="99"/>
    <w:rsid w:val="0037197D"/>
    <w:pPr>
      <w:spacing w:after="0" w:line="240" w:lineRule="auto"/>
    </w:pPr>
    <w:rPr>
      <w:rFonts w:ascii="Times New Roman" w:hAnsi="Times New Roman"/>
      <w:b/>
      <w:sz w:val="24"/>
      <w:szCs w:val="20"/>
      <w:lang w:eastAsia="ru-RU"/>
    </w:rPr>
  </w:style>
  <w:style w:type="character" w:customStyle="1" w:styleId="af9">
    <w:name w:val="Основной текст Знак"/>
    <w:basedOn w:val="a0"/>
    <w:link w:val="af8"/>
    <w:uiPriority w:val="99"/>
    <w:rsid w:val="0037197D"/>
    <w:rPr>
      <w:rFonts w:ascii="Times New Roman" w:hAnsi="Times New Roman" w:cs="Times New Roman"/>
      <w:b/>
      <w:sz w:val="20"/>
      <w:szCs w:val="20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37197D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37197D"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37197D"/>
    <w:rPr>
      <w:rFonts w:cs="Times New Roman"/>
      <w:vertAlign w:val="superscript"/>
    </w:rPr>
  </w:style>
  <w:style w:type="character" w:styleId="afd">
    <w:name w:val="FollowedHyperlink"/>
    <w:basedOn w:val="a0"/>
    <w:uiPriority w:val="99"/>
    <w:semiHidden/>
    <w:unhideWhenUsed/>
    <w:rsid w:val="0037197D"/>
    <w:rPr>
      <w:rFonts w:cs="Times New Roman"/>
      <w:color w:val="800080" w:themeColor="followedHyperlink"/>
      <w:u w:val="single"/>
    </w:rPr>
  </w:style>
  <w:style w:type="paragraph" w:styleId="afe">
    <w:name w:val="Revision"/>
    <w:hidden/>
    <w:uiPriority w:val="99"/>
    <w:semiHidden/>
    <w:rsid w:val="0037197D"/>
    <w:pPr>
      <w:spacing w:after="0" w:line="240" w:lineRule="auto"/>
    </w:pPr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csm@educente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educent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minar2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909</Words>
  <Characters>5183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Павлей</dc:creator>
  <cp:keywords/>
  <dc:description/>
  <cp:lastModifiedBy>Анастасия</cp:lastModifiedBy>
  <cp:revision>4</cp:revision>
  <dcterms:created xsi:type="dcterms:W3CDTF">2026-10-20T09:54:00Z</dcterms:created>
  <dcterms:modified xsi:type="dcterms:W3CDTF">2026-10-21T09:58:00Z</dcterms:modified>
</cp:coreProperties>
</file>