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CFD" w:rsidRDefault="004B4CFD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bookmarkStart w:id="0" w:name="0.1_graphic02"/>
      <w:bookmarkEnd w:id="0"/>
      <w:r w:rsidRPr="004B4CFD">
        <w:rPr>
          <w:rFonts w:ascii="Times New Roman" w:hAnsi="Times New Roman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4B4CFD">
        <w:rPr>
          <w:rFonts w:ascii="Times New Roman" w:hAnsi="Times New Roman"/>
          <w:lang w:eastAsia="ru-RU"/>
        </w:rPr>
        <w:pict>
          <v:shape id="_x0000_i0" o:spid="_x0000_i1025" type="#_x0000_t75" style="width:467.1pt;height:47.55pt;mso-wrap-distance-left:0;mso-wrap-distance-top:0;mso-wrap-distance-right:0;mso-wrap-distance-bottom:0">
            <v:imagedata r:id="rId7" o:title=""/>
            <v:path textboxrect="0,0,0,0"/>
          </v:shape>
        </w:pict>
      </w:r>
    </w:p>
    <w:p w:rsidR="004B4CFD" w:rsidRDefault="004B4C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B4CFD" w:rsidRDefault="00CE74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22 декабря 2026 года</w:t>
      </w:r>
    </w:p>
    <w:p w:rsidR="004B4CFD" w:rsidRDefault="00CE74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Итоговый семинар-2026 с участием представителя Банка России</w:t>
      </w:r>
    </w:p>
    <w:p w:rsidR="004B4CFD" w:rsidRDefault="00CE742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«Актуальные вопросы ПОД/ФТ в некредитных финансовых организациях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(НФО):</w:t>
      </w:r>
    </w:p>
    <w:p w:rsidR="004B4CFD" w:rsidRDefault="00CE742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итоги 2026 года и перспективы на 2027 год»</w:t>
      </w:r>
    </w:p>
    <w:p w:rsidR="004B4CFD" w:rsidRDefault="004B4CFD">
      <w:pPr>
        <w:spacing w:after="0" w:line="240" w:lineRule="auto"/>
        <w:rPr>
          <w:lang w:eastAsia="ru-RU"/>
        </w:rPr>
      </w:pPr>
    </w:p>
    <w:p w:rsidR="004B4CFD" w:rsidRDefault="00CE7426">
      <w:pPr>
        <w:tabs>
          <w:tab w:val="left" w:pos="142"/>
          <w:tab w:val="left" w:pos="1560"/>
        </w:tabs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Институт МФЦ приглашает принять участие в итоговом 202</w:t>
      </w:r>
      <w:r>
        <w:rPr>
          <w:rFonts w:ascii="Times New Roman" w:hAnsi="Times New Roman"/>
          <w:sz w:val="24"/>
          <w:szCs w:val="24"/>
        </w:rPr>
        <w:t>6 года онлайн-семинаре «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Актуальные вопросы ПОД/ФТ в некредитных финансовых организациях (НФО):</w:t>
      </w:r>
      <w:r w:rsidR="00065CC5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итоги 2026 года и перспективы на 2027 год»</w:t>
      </w:r>
      <w:r>
        <w:rPr>
          <w:rFonts w:ascii="Times New Roman" w:hAnsi="Times New Roman"/>
          <w:sz w:val="24"/>
          <w:szCs w:val="24"/>
        </w:rPr>
        <w:t>, который пройдет 22 декабря 2026 года в дневном формате с 15.00 до 18.00 мск с участием представителя Банка России.</w:t>
      </w:r>
    </w:p>
    <w:p w:rsidR="004B4CFD" w:rsidRDefault="00CE7426">
      <w:pPr>
        <w:tabs>
          <w:tab w:val="left" w:pos="142"/>
          <w:tab w:val="left" w:pos="1560"/>
        </w:tabs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ставшем уже традиционном мероприятии, проводимом с представителем Банка России по итогам календарного года, в практическом ключе будут рассмотрены все актуальные вопросы ПОД/ФТ для НФО, а также ожидаемые новации следующего года.</w:t>
      </w:r>
    </w:p>
    <w:p w:rsidR="004B4CFD" w:rsidRDefault="004B4CFD">
      <w:pPr>
        <w:tabs>
          <w:tab w:val="left" w:pos="142"/>
          <w:tab w:val="left" w:pos="1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1"/>
        <w:tblW w:w="10632" w:type="dxa"/>
        <w:tblInd w:w="108" w:type="dxa"/>
        <w:tblLook w:val="04A0"/>
      </w:tblPr>
      <w:tblGrid>
        <w:gridCol w:w="10632"/>
      </w:tblGrid>
      <w:tr w:rsidR="004B4CFD">
        <w:tc>
          <w:tcPr>
            <w:tcW w:w="10632" w:type="dxa"/>
            <w:noWrap/>
          </w:tcPr>
          <w:p w:rsidR="004B4CFD" w:rsidRDefault="00CE7426">
            <w:pPr>
              <w:ind w:firstLine="3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2026 году противолегализ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ационное законодательство Российской Федерации претерпело ряд существенных изменений, в том числе: </w:t>
            </w:r>
          </w:p>
          <w:p w:rsidR="004B4CFD" w:rsidRDefault="00CE742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комплексно усовершенствована система замораживания денежных средств лиц, связанных с терроризмом или распространением оружия массового уничтожения;</w:t>
            </w:r>
          </w:p>
          <w:p w:rsidR="004B4CFD" w:rsidRDefault="00CE742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 з</w:t>
            </w:r>
            <w:r>
              <w:rPr>
                <w:rFonts w:ascii="Times New Roman" w:hAnsi="Times New Roman"/>
                <w:sz w:val="24"/>
                <w:szCs w:val="24"/>
              </w:rPr>
              <w:t>аконодательный каркас для регулирования операций с цифровой валютой и цифровыми правами, в том числе по вопросам ПОД/ФТ;</w:t>
            </w:r>
          </w:p>
          <w:p w:rsidR="004B4CFD" w:rsidRDefault="00CE742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ужесточены требования по идентификации при дистанционном заключении договора потребительского кредита (займа);</w:t>
            </w:r>
          </w:p>
          <w:p w:rsidR="004B4CFD" w:rsidRDefault="00CE742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Банком России изданы обн</w:t>
            </w:r>
            <w:r>
              <w:rPr>
                <w:rFonts w:ascii="Times New Roman" w:hAnsi="Times New Roman"/>
                <w:sz w:val="24"/>
                <w:szCs w:val="24"/>
              </w:rPr>
              <w:t>овленные требования к целевым правилам внутреннего контроля.</w:t>
            </w:r>
          </w:p>
          <w:p w:rsidR="004B4CFD" w:rsidRDefault="00CE7426">
            <w:pPr>
              <w:ind w:firstLine="3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семинаре мы подведем итоги по линии исполнения НФО требований по ПОД/ФТ в текущем 2026 году: </w:t>
            </w:r>
          </w:p>
          <w:p w:rsidR="004B4CFD" w:rsidRDefault="00CE742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вспомним основной функционал субъектов финансового мониторинга по ПОД/ФТ; </w:t>
            </w:r>
          </w:p>
          <w:p w:rsidR="004B4CFD" w:rsidRDefault="00CE742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проверим, все ли нормативные изменения учтены НФО в текущей деятельности (актуализированы ли ПВК, проведен целевой внеплановый инструктаж с сотрудниками и др.);</w:t>
            </w:r>
          </w:p>
          <w:p w:rsidR="004B4CFD" w:rsidRDefault="00CE742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обсудим основные события в сфере ПОД/ФТ, а также планируемые изменения в Федеральный закон № 11</w:t>
            </w:r>
            <w:r>
              <w:rPr>
                <w:rFonts w:ascii="Times New Roman" w:hAnsi="Times New Roman"/>
                <w:sz w:val="24"/>
                <w:szCs w:val="24"/>
              </w:rPr>
              <w:t>5-ФЗ в 2027 году и подзаконные акты;</w:t>
            </w:r>
          </w:p>
          <w:p w:rsidR="004B4CFD" w:rsidRDefault="00CE7426">
            <w:pPr>
              <w:pStyle w:val="af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разберем актуальные вопросы, возникающие у НФО в практической деятельности при исполнении требований противолегализационного законодательства.</w:t>
            </w:r>
          </w:p>
          <w:p w:rsidR="004B4CFD" w:rsidRDefault="00CE7426">
            <w:pPr>
              <w:ind w:firstLine="3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семинаре также будет рассмотрена практика применения НФО требований закон</w:t>
            </w:r>
            <w:r>
              <w:rPr>
                <w:rFonts w:ascii="Times New Roman" w:hAnsi="Times New Roman"/>
                <w:sz w:val="24"/>
                <w:szCs w:val="24"/>
              </w:rPr>
              <w:t>одательства в сфере ПОД/ФТ.</w:t>
            </w:r>
          </w:p>
          <w:p w:rsidR="004B4CFD" w:rsidRDefault="00CE7426">
            <w:pPr>
              <w:ind w:firstLine="3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Категория слушателей: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сотрудники поднадзорных Банку России некредитных финансовых организаций, прошедшие обучение в форме целевого инструктажа (негосударственные пенсионные фонды, профессиональные участники рынка ценных бумаг, 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правляющие компании, операторы инвестиционных платформ, ломбарды, кредитные потребительские кооперативы, микрофинансовые организации, страховые организации, страховые брокеры, общества взаимного страхования, операторы финансовых платформ, операторы обмена </w:t>
            </w:r>
            <w:r>
              <w:rPr>
                <w:rFonts w:ascii="Times New Roman" w:hAnsi="Times New Roman"/>
                <w:sz w:val="24"/>
                <w:szCs w:val="24"/>
              </w:rPr>
              <w:t>цифровых финансовых активов, операторы информационных систем, в которых осуществляется выпуск цифровых валют, цифровые депозитарии, операторы по приему платежей).</w:t>
            </w:r>
          </w:p>
          <w:p w:rsidR="004B4CFD" w:rsidRDefault="00CE7426">
            <w:pPr>
              <w:ind w:firstLine="3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Зарегистрированные участники могут заблаговременно направить тематические вопросы, которые будут рассмотрены на семинаре.</w:t>
            </w:r>
          </w:p>
          <w:p w:rsidR="004B4CFD" w:rsidRDefault="00CE7426">
            <w:pPr>
              <w:ind w:firstLine="34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Участникам семинара будут предоставлены «Памятка по ПОД/ФТ» (выдержка из презентации преподавателя) и подборка актуальных документов 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 ПОД/ФТ.</w:t>
            </w:r>
          </w:p>
          <w:p w:rsidR="004B4CFD" w:rsidRDefault="00CE7426">
            <w:pPr>
              <w:ind w:firstLine="344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Участникам семинара будет выдано свидетельство о повышении квалификации (плановом инструктаже).</w:t>
            </w:r>
          </w:p>
        </w:tc>
      </w:tr>
    </w:tbl>
    <w:p w:rsidR="004B4CFD" w:rsidRDefault="00CE7426">
      <w:pPr>
        <w:ind w:firstLine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программе семинара:</w:t>
      </w:r>
    </w:p>
    <w:p w:rsidR="004B4CFD" w:rsidRDefault="00CE7426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Обзор основных событий в сфере ПОД/ФТ/ЭД в 2026 году и новаций, вступающих в силу в 2027 году.</w:t>
      </w:r>
    </w:p>
    <w:p w:rsidR="004B4CFD" w:rsidRDefault="00CE7426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 Обзор вступивших в силу в </w:t>
      </w:r>
      <w:r>
        <w:rPr>
          <w:rFonts w:ascii="Times New Roman" w:hAnsi="Times New Roman"/>
          <w:sz w:val="24"/>
          <w:szCs w:val="24"/>
        </w:rPr>
        <w:t>2026 году изменений в Федеральный закон от 07.08.2001 № 115-ФЗ «О противодействии легализации (отмыванию) доходов, полученных преступным путем, и финансированию терроризма», касающихся деятельности НФО в сфере ПОД/ФТ и актуальных законопроектов на дату сем</w:t>
      </w:r>
      <w:r>
        <w:rPr>
          <w:rFonts w:ascii="Times New Roman" w:hAnsi="Times New Roman"/>
          <w:sz w:val="24"/>
          <w:szCs w:val="24"/>
        </w:rPr>
        <w:t>инара.</w:t>
      </w:r>
    </w:p>
    <w:p w:rsidR="004B4CFD" w:rsidRDefault="00CE7426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Обзор законодательства о цифровых валютах и цифровых правах.</w:t>
      </w:r>
    </w:p>
    <w:p w:rsidR="004B4CFD" w:rsidRDefault="00CE74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Обзор вступивших в силу в 2026 году изменений в нормативные акты Банка России по ПОД/ФТ для НФО, и актуальных проектов на дату семинара.</w:t>
      </w:r>
    </w:p>
    <w:p w:rsidR="004B4CFD" w:rsidRDefault="00CE74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Обзор вступивших в силу в 2026 году измене</w:t>
      </w:r>
      <w:r>
        <w:rPr>
          <w:rFonts w:ascii="Times New Roman" w:hAnsi="Times New Roman"/>
          <w:sz w:val="24"/>
          <w:szCs w:val="24"/>
        </w:rPr>
        <w:t>ний в нормативные акты Росфинмониторинга, положения которых распространяются на НФО, и актуальных проектов на дату семинара.</w:t>
      </w:r>
    </w:p>
    <w:p w:rsidR="004B4CFD" w:rsidRDefault="00CE74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Практические вопросы, возникающие у НФО при проведении идентификации, включая проведение проверки паспортных данных, возможных в</w:t>
      </w:r>
      <w:r>
        <w:rPr>
          <w:rFonts w:ascii="Times New Roman" w:hAnsi="Times New Roman"/>
          <w:sz w:val="24"/>
          <w:szCs w:val="24"/>
        </w:rPr>
        <w:t>идов и способов идентификации, взаимодействия с клиентов и т.п.</w:t>
      </w:r>
    </w:p>
    <w:p w:rsidR="004B4CFD" w:rsidRDefault="00CE74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Операции обязательного контроля: обзор актуальных позиций Банка России в части вопросов НФО по представлению сведений в уполномоченный орган (в том числе операции с криптой, операции НКО). </w:t>
      </w:r>
    </w:p>
    <w:p w:rsidR="004B4CFD" w:rsidRDefault="00CE7426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Порядок применения мер по замораживанию (блокированию) денежных средств или имущества.</w:t>
      </w:r>
    </w:p>
    <w:p w:rsidR="004B4CFD" w:rsidRDefault="00CE74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Практические вопросы, возникающие у НФО при работе с Перечнями экстремистов, решениями МКО, решениями Совбеза ООН (в том числе различие требований в части «провер</w:t>
      </w:r>
      <w:r>
        <w:rPr>
          <w:rFonts w:ascii="Times New Roman" w:hAnsi="Times New Roman"/>
          <w:sz w:val="24"/>
          <w:szCs w:val="24"/>
        </w:rPr>
        <w:t>ки клиентов» и «сверки клиентов»).</w:t>
      </w:r>
    </w:p>
    <w:p w:rsidR="004B4CFD" w:rsidRDefault="00CE74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Основания для приостановления операций с денежными средствами или иным имуществом.</w:t>
      </w:r>
    </w:p>
    <w:p w:rsidR="004B4CFD" w:rsidRDefault="00CE74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Отказ клиенту в проведении операции или в приеме на обслуживание: как быть, если клиент не представил запрошенные сведения или его</w:t>
      </w:r>
      <w:r>
        <w:rPr>
          <w:rFonts w:ascii="Times New Roman" w:hAnsi="Times New Roman"/>
          <w:sz w:val="24"/>
          <w:szCs w:val="24"/>
        </w:rPr>
        <w:t xml:space="preserve"> паспорт недействителен.</w:t>
      </w:r>
    </w:p>
    <w:p w:rsidR="004B4CFD" w:rsidRDefault="00CE74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Организация системы внутреннего контроля по ПОД/ФТ:</w:t>
      </w:r>
    </w:p>
    <w:p w:rsidR="004B4CFD" w:rsidRDefault="00CE7426">
      <w:pPr>
        <w:pStyle w:val="af3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запрет на информирование клиентов и иных лиц о принятых мерах по ПОД/ФТ: какие сведения могут быть представлены третьим лицам (например, аудиторам, участникам, акционерам);</w:t>
      </w:r>
    </w:p>
    <w:p w:rsidR="004B4CFD" w:rsidRDefault="00CE7426">
      <w:pPr>
        <w:pStyle w:val="af3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все об СДЛ;</w:t>
      </w:r>
    </w:p>
    <w:p w:rsidR="004B4CFD" w:rsidRDefault="00CE7426">
      <w:pPr>
        <w:pStyle w:val="af3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особенности разработки ПВК по ПОД/ФТ: практические рекомендации по содержанию некоторых программ, внедрение в ПВК сферы, связанной с противодействием финансированию ЭД;</w:t>
      </w:r>
    </w:p>
    <w:p w:rsidR="004B4CFD" w:rsidRDefault="00CE7426">
      <w:pPr>
        <w:pStyle w:val="af3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подготовка и обучение сотрудников НФО по ПОД/ФТ с учетом изменений в треб</w:t>
      </w:r>
      <w:r>
        <w:rPr>
          <w:rFonts w:ascii="Times New Roman" w:hAnsi="Times New Roman"/>
          <w:sz w:val="24"/>
          <w:szCs w:val="24"/>
        </w:rPr>
        <w:t>ования Банка России.</w:t>
      </w:r>
    </w:p>
    <w:p w:rsidR="004B4CFD" w:rsidRDefault="00CE74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Обзор типовых недостатков по линии ПОД/ФТ, допускаемых НФО.</w:t>
      </w:r>
    </w:p>
    <w:p w:rsidR="004B4CFD" w:rsidRDefault="00CE74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Ответы на вопросы слушателей семинара.</w:t>
      </w:r>
    </w:p>
    <w:p w:rsidR="004B4CFD" w:rsidRDefault="004B4CFD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:rsidR="004B4CFD" w:rsidRDefault="00CE7426">
      <w:pPr>
        <w:spacing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семинаре выступит эксперт-практик с многолетним опытом работы в сфере ПОД/ФТ, представитель Департамента финансового монитор</w:t>
      </w:r>
      <w:r>
        <w:rPr>
          <w:rFonts w:ascii="Times New Roman" w:hAnsi="Times New Roman"/>
          <w:b/>
          <w:sz w:val="24"/>
          <w:szCs w:val="24"/>
        </w:rPr>
        <w:t>инга и валютного контроля Банка России.</w:t>
      </w:r>
    </w:p>
    <w:p w:rsidR="004B4CFD" w:rsidRDefault="00CE74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Время проведения: </w:t>
      </w:r>
      <w:r>
        <w:rPr>
          <w:rFonts w:ascii="Times New Roman" w:hAnsi="Times New Roman"/>
          <w:sz w:val="24"/>
          <w:szCs w:val="24"/>
        </w:rPr>
        <w:t>15:00—18:00 мск.</w:t>
      </w:r>
    </w:p>
    <w:p w:rsidR="004B4CFD" w:rsidRDefault="004B4CF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B4CFD" w:rsidRDefault="00CE74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Стоимость</w:t>
      </w:r>
      <w:r>
        <w:rPr>
          <w:rFonts w:ascii="Times New Roman" w:hAnsi="Times New Roman"/>
          <w:sz w:val="24"/>
          <w:szCs w:val="24"/>
        </w:rPr>
        <w:t xml:space="preserve"> участия в онлайн-семинаре для одного участника составляет 8 000 (восемь тысяч рублей), НДС не облагается. Скидка в размере 10 процентов предоставляются, начиная со второг</w:t>
      </w:r>
      <w:r>
        <w:rPr>
          <w:rFonts w:ascii="Times New Roman" w:hAnsi="Times New Roman"/>
          <w:sz w:val="24"/>
          <w:szCs w:val="24"/>
        </w:rPr>
        <w:t>о участника от одной организации.</w:t>
      </w:r>
    </w:p>
    <w:p w:rsidR="004B4CFD" w:rsidRDefault="004B4CF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B4CFD" w:rsidRDefault="00CE74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Заявки на участие направлять до 21</w:t>
      </w:r>
      <w:r w:rsidR="00065CC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декабря 2026</w:t>
      </w:r>
      <w:bookmarkStart w:id="1" w:name="_GoBack"/>
      <w:bookmarkEnd w:id="1"/>
      <w:r>
        <w:rPr>
          <w:rFonts w:ascii="Times New Roman" w:hAnsi="Times New Roman"/>
          <w:b/>
          <w:sz w:val="24"/>
          <w:szCs w:val="24"/>
        </w:rPr>
        <w:t xml:space="preserve"> года</w:t>
      </w:r>
      <w:r w:rsidR="00065CC5">
        <w:rPr>
          <w:rFonts w:ascii="Times New Roman" w:hAnsi="Times New Roman"/>
          <w:sz w:val="24"/>
          <w:szCs w:val="24"/>
        </w:rPr>
        <w:t xml:space="preserve"> включительно Левиной Марине</w:t>
      </w:r>
      <w:r>
        <w:rPr>
          <w:rFonts w:ascii="Times New Roman" w:hAnsi="Times New Roman"/>
          <w:sz w:val="24"/>
          <w:szCs w:val="24"/>
        </w:rPr>
        <w:t xml:space="preserve"> — </w:t>
      </w:r>
      <w:hyperlink r:id="rId8" w:tooltip="mailto:fcsm@educenter.ru" w:history="1">
        <w:r>
          <w:rPr>
            <w:rStyle w:val="af2"/>
            <w:rFonts w:ascii="Times New Roman" w:hAnsi="Times New Roman"/>
            <w:sz w:val="24"/>
            <w:szCs w:val="24"/>
            <w:lang w:eastAsia="ru-RU"/>
          </w:rPr>
          <w:t>fcsm@educenter.ru</w:t>
        </w:r>
      </w:hyperlink>
      <w:r>
        <w:rPr>
          <w:rFonts w:ascii="Times New Roman" w:hAnsi="Times New Roman"/>
          <w:sz w:val="24"/>
          <w:szCs w:val="24"/>
        </w:rPr>
        <w:t>,</w:t>
      </w:r>
      <w:r w:rsidR="00065C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или Шуваевой Марии </w:t>
      </w:r>
      <w:hyperlink r:id="rId9" w:tooltip="mailto:seminar2@educenter.ru" w:history="1">
        <w:r>
          <w:rPr>
            <w:rStyle w:val="af2"/>
            <w:rFonts w:ascii="Times New Roman" w:hAnsi="Times New Roman"/>
            <w:sz w:val="24"/>
            <w:szCs w:val="24"/>
            <w:lang w:eastAsia="ru-RU"/>
          </w:rPr>
          <w:t>seminar2@educenter.ru</w:t>
        </w:r>
      </w:hyperlink>
      <w:r w:rsidR="00065CC5">
        <w:t xml:space="preserve"> </w:t>
      </w:r>
      <w:r>
        <w:rPr>
          <w:rFonts w:ascii="Times New Roman" w:hAnsi="Times New Roman"/>
          <w:sz w:val="24"/>
          <w:szCs w:val="24"/>
        </w:rPr>
        <w:t xml:space="preserve">тел./ф. +7(495) 921-22-73 (многоканальный), </w:t>
      </w:r>
      <w:hyperlink r:id="rId10" w:tooltip="http://www.educenter.ru" w:history="1">
        <w:r>
          <w:rPr>
            <w:rStyle w:val="af2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af2"/>
            <w:rFonts w:ascii="Times New Roman" w:hAnsi="Times New Roman"/>
            <w:sz w:val="24"/>
            <w:szCs w:val="24"/>
          </w:rPr>
          <w:t>.</w:t>
        </w:r>
        <w:r>
          <w:rPr>
            <w:rStyle w:val="af2"/>
            <w:rFonts w:ascii="Times New Roman" w:hAnsi="Times New Roman"/>
            <w:sz w:val="24"/>
            <w:szCs w:val="24"/>
            <w:lang w:val="en-US"/>
          </w:rPr>
          <w:t>educenter</w:t>
        </w:r>
        <w:r>
          <w:rPr>
            <w:rStyle w:val="af2"/>
            <w:rFonts w:ascii="Times New Roman" w:hAnsi="Times New Roman"/>
            <w:sz w:val="24"/>
            <w:szCs w:val="24"/>
          </w:rPr>
          <w:t>.</w:t>
        </w:r>
        <w:r>
          <w:rPr>
            <w:rStyle w:val="af2"/>
            <w:rFonts w:ascii="Times New Roman" w:hAnsi="Times New Roman"/>
            <w:sz w:val="24"/>
            <w:szCs w:val="24"/>
            <w:lang w:val="en-US"/>
          </w:rPr>
          <w:t>ru</w:t>
        </w:r>
      </w:hyperlink>
    </w:p>
    <w:sectPr w:rsidR="004B4CFD" w:rsidSect="004B4CFD">
      <w:footerReference w:type="default" r:id="rId11"/>
      <w:pgSz w:w="11906" w:h="16838"/>
      <w:pgMar w:top="709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426" w:rsidRDefault="00CE7426">
      <w:pPr>
        <w:spacing w:after="0" w:line="240" w:lineRule="auto"/>
      </w:pPr>
      <w:r>
        <w:separator/>
      </w:r>
    </w:p>
  </w:endnote>
  <w:endnote w:type="continuationSeparator" w:id="1">
    <w:p w:rsidR="00CE7426" w:rsidRDefault="00CE7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CFD" w:rsidRDefault="004B4CFD"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 w:rsidR="00CE7426"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065CC5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  <w:p w:rsidR="004B4CFD" w:rsidRDefault="004B4CF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426" w:rsidRDefault="00CE7426">
      <w:pPr>
        <w:spacing w:after="0" w:line="240" w:lineRule="auto"/>
      </w:pPr>
      <w:r>
        <w:separator/>
      </w:r>
    </w:p>
  </w:footnote>
  <w:footnote w:type="continuationSeparator" w:id="1">
    <w:p w:rsidR="00CE7426" w:rsidRDefault="00CE74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565FD"/>
    <w:multiLevelType w:val="hybridMultilevel"/>
    <w:tmpl w:val="C648522A"/>
    <w:lvl w:ilvl="0" w:tplc="852A2B4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8356EFE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1FCD6A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2C4D0F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17E55BC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67CDBF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DC2081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0569D8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B8A78A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67B06EB"/>
    <w:multiLevelType w:val="hybridMultilevel"/>
    <w:tmpl w:val="EEFE0D6A"/>
    <w:lvl w:ilvl="0" w:tplc="D7381DF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572C8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14F7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529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501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BC1D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2ED3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8A97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1E22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4CFD"/>
    <w:rsid w:val="00065CC5"/>
    <w:rsid w:val="004B4CFD"/>
    <w:rsid w:val="00CE74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CFD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link w:val="Heading2"/>
    <w:uiPriority w:val="9"/>
    <w:rsid w:val="004B4CFD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4B4CFD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4B4CFD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4B4CFD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4B4CFD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4B4CFD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4B4CFD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TitleChar">
    <w:name w:val="Title Char"/>
    <w:basedOn w:val="a0"/>
    <w:link w:val="a3"/>
    <w:uiPriority w:val="10"/>
    <w:rsid w:val="004B4CFD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4B4CFD"/>
    <w:rPr>
      <w:sz w:val="24"/>
      <w:szCs w:val="24"/>
    </w:rPr>
  </w:style>
  <w:style w:type="character" w:customStyle="1" w:styleId="QuoteChar">
    <w:name w:val="Quote Char"/>
    <w:link w:val="2"/>
    <w:uiPriority w:val="29"/>
    <w:rsid w:val="004B4CFD"/>
    <w:rPr>
      <w:i/>
    </w:rPr>
  </w:style>
  <w:style w:type="character" w:customStyle="1" w:styleId="IntenseQuoteChar">
    <w:name w:val="Intense Quote Char"/>
    <w:link w:val="a5"/>
    <w:uiPriority w:val="30"/>
    <w:rsid w:val="004B4CFD"/>
    <w:rPr>
      <w:i/>
    </w:rPr>
  </w:style>
  <w:style w:type="character" w:customStyle="1" w:styleId="EndnoteTextChar">
    <w:name w:val="Endnote Text Char"/>
    <w:link w:val="a6"/>
    <w:uiPriority w:val="99"/>
    <w:rsid w:val="004B4CFD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4B4CFD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4B4CF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4B4CF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4B4CF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4B4CF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4B4CF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4B4CF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4B4CF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9"/>
    <w:uiPriority w:val="99"/>
    <w:qFormat/>
    <w:rsid w:val="004B4CFD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customStyle="1" w:styleId="Heading1Char">
    <w:name w:val="Heading 1 Char"/>
    <w:basedOn w:val="a0"/>
    <w:uiPriority w:val="9"/>
    <w:rsid w:val="004B4C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Heading2"/>
    <w:uiPriority w:val="9"/>
    <w:rsid w:val="004B4CFD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4B4CFD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4B4CFD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4B4CFD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4B4CFD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4B4C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4B4CF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B4CFD"/>
    <w:rPr>
      <w:rFonts w:ascii="Arial" w:eastAsia="Arial" w:hAnsi="Arial" w:cs="Arial"/>
      <w:i/>
      <w:iCs/>
      <w:sz w:val="21"/>
      <w:szCs w:val="21"/>
    </w:rPr>
  </w:style>
  <w:style w:type="paragraph" w:styleId="a7">
    <w:name w:val="No Spacing"/>
    <w:uiPriority w:val="1"/>
    <w:qFormat/>
    <w:rsid w:val="004B4CFD"/>
    <w:pPr>
      <w:spacing w:after="0" w:line="240" w:lineRule="auto"/>
    </w:pPr>
  </w:style>
  <w:style w:type="paragraph" w:styleId="a3">
    <w:name w:val="Title"/>
    <w:basedOn w:val="a"/>
    <w:next w:val="a"/>
    <w:link w:val="a8"/>
    <w:uiPriority w:val="10"/>
    <w:qFormat/>
    <w:rsid w:val="004B4CFD"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3"/>
    <w:uiPriority w:val="10"/>
    <w:rsid w:val="004B4CFD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4B4CFD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4"/>
    <w:uiPriority w:val="11"/>
    <w:rsid w:val="004B4CFD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4B4CFD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4B4CFD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4B4C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4B4CFD"/>
    <w:rPr>
      <w:i/>
    </w:rPr>
  </w:style>
  <w:style w:type="character" w:customStyle="1" w:styleId="HeaderChar">
    <w:name w:val="Header Char"/>
    <w:basedOn w:val="a0"/>
    <w:uiPriority w:val="99"/>
    <w:rsid w:val="004B4CFD"/>
  </w:style>
  <w:style w:type="character" w:customStyle="1" w:styleId="FooterChar">
    <w:name w:val="Footer Char"/>
    <w:basedOn w:val="a0"/>
    <w:uiPriority w:val="99"/>
    <w:rsid w:val="004B4CFD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4B4CFD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4B4CFD"/>
  </w:style>
  <w:style w:type="table" w:customStyle="1" w:styleId="TableGridLight">
    <w:name w:val="Table Grid Light"/>
    <w:basedOn w:val="a1"/>
    <w:uiPriority w:val="59"/>
    <w:rsid w:val="004B4CF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B4CF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B4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B4CF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B4CF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B4CF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B4CF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B4CF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B4CF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B4CF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B4CF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B4CF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B4CF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B4CF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B4CF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B4CF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B4CF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B4C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4B4CFD"/>
    <w:rPr>
      <w:sz w:val="18"/>
    </w:rPr>
  </w:style>
  <w:style w:type="paragraph" w:styleId="a6">
    <w:name w:val="endnote text"/>
    <w:basedOn w:val="a"/>
    <w:link w:val="ab"/>
    <w:uiPriority w:val="99"/>
    <w:semiHidden/>
    <w:unhideWhenUsed/>
    <w:rsid w:val="004B4CFD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6"/>
    <w:uiPriority w:val="99"/>
    <w:rsid w:val="004B4CFD"/>
    <w:rPr>
      <w:sz w:val="20"/>
    </w:rPr>
  </w:style>
  <w:style w:type="character" w:styleId="ac">
    <w:name w:val="endnote reference"/>
    <w:basedOn w:val="a0"/>
    <w:uiPriority w:val="99"/>
    <w:semiHidden/>
    <w:unhideWhenUsed/>
    <w:rsid w:val="004B4CF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4B4CFD"/>
    <w:pPr>
      <w:spacing w:after="57"/>
    </w:pPr>
  </w:style>
  <w:style w:type="paragraph" w:styleId="22">
    <w:name w:val="toc 2"/>
    <w:basedOn w:val="a"/>
    <w:next w:val="a"/>
    <w:uiPriority w:val="39"/>
    <w:unhideWhenUsed/>
    <w:rsid w:val="004B4CFD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4B4CFD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4B4CFD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4B4CFD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4B4CFD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4B4CFD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4B4CFD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4B4CFD"/>
    <w:pPr>
      <w:spacing w:after="57"/>
      <w:ind w:left="2268"/>
    </w:pPr>
  </w:style>
  <w:style w:type="paragraph" w:styleId="ad">
    <w:name w:val="TOC Heading"/>
    <w:uiPriority w:val="39"/>
    <w:unhideWhenUsed/>
    <w:rsid w:val="004B4CFD"/>
  </w:style>
  <w:style w:type="paragraph" w:styleId="ae">
    <w:name w:val="table of figures"/>
    <w:basedOn w:val="a"/>
    <w:next w:val="a"/>
    <w:uiPriority w:val="99"/>
    <w:unhideWhenUsed/>
    <w:rsid w:val="004B4CFD"/>
    <w:pPr>
      <w:spacing w:after="0"/>
    </w:pPr>
  </w:style>
  <w:style w:type="character" w:customStyle="1" w:styleId="1">
    <w:name w:val="Заголовок 1 Знак"/>
    <w:basedOn w:val="a0"/>
    <w:link w:val="Heading1"/>
    <w:uiPriority w:val="9"/>
    <w:rsid w:val="004B4CFD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">
    <w:name w:val="Заголовок 9 Знак"/>
    <w:basedOn w:val="a0"/>
    <w:link w:val="Heading9"/>
    <w:uiPriority w:val="99"/>
    <w:rsid w:val="004B4CFD"/>
    <w:rPr>
      <w:rFonts w:ascii="Arial" w:hAnsi="Arial" w:cs="Arial"/>
      <w:b/>
      <w:bCs/>
      <w:sz w:val="18"/>
      <w:szCs w:val="18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B4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B4CF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4B4CFD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f1">
    <w:name w:val="Table Grid"/>
    <w:basedOn w:val="a1"/>
    <w:uiPriority w:val="59"/>
    <w:rsid w:val="004B4CFD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rsid w:val="004B4CFD"/>
    <w:rPr>
      <w:rFonts w:cs="Times New Roman"/>
      <w:color w:val="0000FF"/>
      <w:u w:val="single"/>
    </w:rPr>
  </w:style>
  <w:style w:type="paragraph" w:styleId="af3">
    <w:name w:val="List Paragraph"/>
    <w:basedOn w:val="a"/>
    <w:uiPriority w:val="34"/>
    <w:qFormat/>
    <w:rsid w:val="004B4CFD"/>
    <w:pPr>
      <w:ind w:left="720"/>
      <w:contextualSpacing/>
    </w:pPr>
  </w:style>
  <w:style w:type="paragraph" w:customStyle="1" w:styleId="af4">
    <w:name w:val="Знак Знак Знак Знак"/>
    <w:basedOn w:val="a"/>
    <w:uiPriority w:val="99"/>
    <w:rsid w:val="004B4CFD"/>
    <w:pPr>
      <w:tabs>
        <w:tab w:val="num" w:pos="360"/>
      </w:tabs>
      <w:spacing w:after="160" w:line="240" w:lineRule="exact"/>
    </w:pPr>
    <w:rPr>
      <w:rFonts w:ascii="Times New Roman" w:hAnsi="Times New Roman"/>
      <w:sz w:val="24"/>
      <w:szCs w:val="24"/>
      <w:lang w:val="en-US" w:eastAsia="ru-RU"/>
    </w:rPr>
  </w:style>
  <w:style w:type="paragraph" w:customStyle="1" w:styleId="Header">
    <w:name w:val="Header"/>
    <w:basedOn w:val="a"/>
    <w:link w:val="af5"/>
    <w:uiPriority w:val="99"/>
    <w:unhideWhenUsed/>
    <w:rsid w:val="004B4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Header"/>
    <w:uiPriority w:val="99"/>
    <w:rsid w:val="004B4CFD"/>
    <w:rPr>
      <w:rFonts w:cs="Times New Roman"/>
    </w:rPr>
  </w:style>
  <w:style w:type="paragraph" w:customStyle="1" w:styleId="Footer">
    <w:name w:val="Footer"/>
    <w:basedOn w:val="a"/>
    <w:link w:val="af6"/>
    <w:uiPriority w:val="99"/>
    <w:unhideWhenUsed/>
    <w:rsid w:val="004B4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Footer"/>
    <w:uiPriority w:val="99"/>
    <w:rsid w:val="004B4CFD"/>
    <w:rPr>
      <w:rFonts w:cs="Times New Roman"/>
    </w:rPr>
  </w:style>
  <w:style w:type="character" w:customStyle="1" w:styleId="googqs-tidbit">
    <w:name w:val="goog_qs-tidbit"/>
    <w:basedOn w:val="a0"/>
    <w:rsid w:val="004B4CFD"/>
    <w:rPr>
      <w:rFonts w:cs="Times New Roman"/>
    </w:rPr>
  </w:style>
  <w:style w:type="paragraph" w:styleId="af7">
    <w:name w:val="Normal (Web)"/>
    <w:basedOn w:val="a"/>
    <w:uiPriority w:val="99"/>
    <w:rsid w:val="004B4CFD"/>
    <w:pPr>
      <w:spacing w:before="100" w:beforeAutospacing="1" w:after="100" w:afterAutospacing="1" w:line="240" w:lineRule="auto"/>
    </w:pPr>
    <w:rPr>
      <w:rFonts w:ascii="Verdana" w:hAnsi="Verdana"/>
      <w:color w:val="000000"/>
      <w:sz w:val="17"/>
      <w:szCs w:val="17"/>
      <w:lang w:eastAsia="ru-RU"/>
    </w:rPr>
  </w:style>
  <w:style w:type="character" w:customStyle="1" w:styleId="grey1">
    <w:name w:val="grey1"/>
    <w:basedOn w:val="a0"/>
    <w:rsid w:val="004B4CFD"/>
    <w:rPr>
      <w:rFonts w:ascii="Verdana" w:hAnsi="Verdana" w:cs="Times New Roman"/>
      <w:color w:val="636363"/>
      <w:sz w:val="17"/>
      <w:szCs w:val="17"/>
    </w:rPr>
  </w:style>
  <w:style w:type="paragraph" w:styleId="af8">
    <w:name w:val="Body Text"/>
    <w:basedOn w:val="a"/>
    <w:link w:val="af9"/>
    <w:uiPriority w:val="99"/>
    <w:rsid w:val="004B4CFD"/>
    <w:pPr>
      <w:spacing w:after="0" w:line="240" w:lineRule="auto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sid w:val="004B4CFD"/>
    <w:rPr>
      <w:rFonts w:ascii="Times New Roman" w:hAnsi="Times New Roman" w:cs="Times New Roman"/>
      <w:b/>
      <w:sz w:val="20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4B4CFD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4B4CFD"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4B4CFD"/>
    <w:rPr>
      <w:rFonts w:cs="Times New Roman"/>
      <w:vertAlign w:val="superscript"/>
    </w:rPr>
  </w:style>
  <w:style w:type="character" w:styleId="afd">
    <w:name w:val="FollowedHyperlink"/>
    <w:basedOn w:val="a0"/>
    <w:uiPriority w:val="99"/>
    <w:semiHidden/>
    <w:unhideWhenUsed/>
    <w:rsid w:val="004B4CFD"/>
    <w:rPr>
      <w:rFonts w:cs="Times New Roman"/>
      <w:color w:val="800080" w:themeColor="followedHyperlink"/>
      <w:u w:val="single"/>
    </w:rPr>
  </w:style>
  <w:style w:type="paragraph" w:styleId="afe">
    <w:name w:val="Revision"/>
    <w:hidden/>
    <w:uiPriority w:val="99"/>
    <w:semiHidden/>
    <w:rsid w:val="004B4CFD"/>
    <w:pPr>
      <w:spacing w:after="0" w:line="240" w:lineRule="auto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csm@edu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educent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928</Words>
  <Characters>5296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Павлей</dc:creator>
  <cp:keywords/>
  <dc:description/>
  <cp:lastModifiedBy>Анастасия</cp:lastModifiedBy>
  <cp:revision>4</cp:revision>
  <dcterms:created xsi:type="dcterms:W3CDTF">2026-10-20T09:53:00Z</dcterms:created>
  <dcterms:modified xsi:type="dcterms:W3CDTF">2026-10-21T10:00:00Z</dcterms:modified>
</cp:coreProperties>
</file>