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8CD" w:rsidRDefault="00A278CD">
      <w:pPr>
        <w:jc w:val="center"/>
        <w:rPr>
          <w:rFonts w:cs="Times New Roman"/>
          <w:b/>
          <w:szCs w:val="24"/>
          <w:lang w:val="ru-RU"/>
        </w:rPr>
      </w:pPr>
      <w:bookmarkStart w:id="0" w:name="0.1_graphic02"/>
      <w:bookmarkEnd w:id="0"/>
      <w:r w:rsidRPr="00A278CD">
        <w:rPr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278CD">
        <w:rPr>
          <w:lang w:val="ru-RU" w:eastAsia="ru-RU"/>
        </w:rPr>
        <w:pict>
          <v:shape id="_x0000_i0" o:spid="_x0000_i1025" type="#_x0000_t75" style="width:6in;height:43.7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A278CD" w:rsidRDefault="004E25E3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Программа повышения квалификации</w:t>
      </w:r>
    </w:p>
    <w:p w:rsidR="00A278CD" w:rsidRDefault="004E25E3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«Цифровая валюта: правовые, экономические,</w:t>
      </w:r>
    </w:p>
    <w:p w:rsidR="00A278CD" w:rsidRDefault="004E25E3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технологические и организационные аспекты»</w:t>
      </w:r>
    </w:p>
    <w:p w:rsidR="00A278CD" w:rsidRDefault="004E25E3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16 ноября по 30 ноября 2026 года</w:t>
      </w:r>
    </w:p>
    <w:p w:rsidR="00A278CD" w:rsidRDefault="005E1F5E">
      <w:pPr>
        <w:pStyle w:val="af4"/>
        <w:ind w:hanging="720"/>
        <w:jc w:val="center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(онлайн</w:t>
      </w:r>
      <w:r w:rsidR="004E25E3">
        <w:rPr>
          <w:rFonts w:cs="Times New Roman"/>
          <w:i/>
          <w:szCs w:val="24"/>
          <w:lang w:val="ru-RU"/>
        </w:rPr>
        <w:t>–формат, 6 занятий)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Институт МФЦ приглашает пройти обучение (повышение квалификации) по программе: </w:t>
      </w:r>
      <w:r>
        <w:rPr>
          <w:rFonts w:cs="Times New Roman"/>
          <w:b/>
          <w:szCs w:val="24"/>
          <w:lang w:val="ru-RU"/>
        </w:rPr>
        <w:t>«Цифровая валюта: правовые, экономические, технологические и организационные аспекты»</w:t>
      </w:r>
      <w:r>
        <w:rPr>
          <w:rFonts w:cs="Times New Roman"/>
          <w:szCs w:val="24"/>
          <w:lang w:val="ru-RU"/>
        </w:rPr>
        <w:t xml:space="preserve"> в период с </w:t>
      </w:r>
      <w:r>
        <w:rPr>
          <w:szCs w:val="24"/>
          <w:lang w:val="ru-RU" w:eastAsia="ru-RU"/>
        </w:rPr>
        <w:t>16 ноября по 30 ноября</w:t>
      </w:r>
      <w:r w:rsidR="005E1F5E">
        <w:rPr>
          <w:szCs w:val="24"/>
          <w:lang w:val="ru-RU" w:eastAsia="ru-RU"/>
        </w:rPr>
        <w:t xml:space="preserve"> </w:t>
      </w:r>
      <w:r>
        <w:rPr>
          <w:rFonts w:cs="Times New Roman"/>
          <w:szCs w:val="24"/>
          <w:lang w:val="ru-RU"/>
        </w:rPr>
        <w:t>2026 года (онлайн-формат, с 18.30 до 21.40 мск)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Программа </w:t>
      </w:r>
      <w:r>
        <w:rPr>
          <w:rFonts w:cs="Times New Roman"/>
          <w:szCs w:val="24"/>
          <w:lang w:val="ru-RU"/>
        </w:rPr>
        <w:t>посвящена правовым, экономическим, технологическим и организационным аспектам обращения цифровой валюты в Российской Федерации.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Актуальность и особенности программы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Актуальность программы связана с формированием регулирования рынка цифровой валюты в Россий</w:t>
      </w:r>
      <w:r>
        <w:rPr>
          <w:rFonts w:cs="Times New Roman"/>
          <w:szCs w:val="24"/>
          <w:lang w:val="ru-RU"/>
        </w:rPr>
        <w:t>ской Федерации. Новая нормативная модель затрагивает организацию обращения цифровой валюты, статус инфраструктурных участников, цифровые счета, адреса-идентификаторы, учёт операций, цифровой анализ и требования к работе с клиентами.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В условиях развития рын</w:t>
      </w:r>
      <w:r>
        <w:rPr>
          <w:rFonts w:cs="Times New Roman"/>
          <w:szCs w:val="24"/>
          <w:lang w:val="ru-RU"/>
        </w:rPr>
        <w:t>ка цифровых активов цифровая валюта перестаёт рассматриваться только как объект частных криптовалютных операций и постепенно включается в сферу регулируемой финансовой инфраструктуры. Это требует от участников рынка понимания не только общих правовых огран</w:t>
      </w:r>
      <w:r>
        <w:rPr>
          <w:rFonts w:cs="Times New Roman"/>
          <w:szCs w:val="24"/>
          <w:lang w:val="ru-RU"/>
        </w:rPr>
        <w:t>ичений, но и практического порядка работы с цифровой валютой: её приобретения, хранения, учёта, перевода, обмена, допуска к операциям, взаимодействия с иностранными площадками, подтверждения происхождения активов и соблюдения требований AML-контроля.</w:t>
      </w:r>
      <w:bookmarkStart w:id="1" w:name="_GoBack"/>
      <w:bookmarkEnd w:id="1"/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</w:t>
      </w:r>
      <w:r>
        <w:rPr>
          <w:rFonts w:cs="Times New Roman"/>
          <w:szCs w:val="24"/>
          <w:lang w:val="ru-RU"/>
        </w:rPr>
        <w:t xml:space="preserve">амма ориентирована на формирование у слушателей системного понимания правового режима цифровой валюты, новой модели её обращения, роли инфраструктурных организаций, порядка ведения цифровых счетов и использования адресов-идентификаторов. В рамках обучения </w:t>
      </w:r>
      <w:r>
        <w:rPr>
          <w:rFonts w:cs="Times New Roman"/>
          <w:szCs w:val="24"/>
          <w:lang w:val="ru-RU"/>
        </w:rPr>
        <w:t>рассматриваются правовая квалификация цифровой валюты, её отличие от цифровых финансовых активов, цифровых прав, цифрового рубля и денежных средств, а также особенности взаимодействия банков, брокеров, организаторов торговли, цифровых депозитариев и органи</w:t>
      </w:r>
      <w:r>
        <w:rPr>
          <w:rFonts w:cs="Times New Roman"/>
          <w:szCs w:val="24"/>
          <w:lang w:val="ru-RU"/>
        </w:rPr>
        <w:t>заций, осуществляющих обмен цифровой валюты.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Программа сочетает нормативно-правовой анализ, разбор экономической и технологической природы цифровой валюты и практические аспекты построения деятельности участника рынка. Особое внимание уделяется вопросам, и</w:t>
      </w:r>
      <w:r>
        <w:rPr>
          <w:rFonts w:cs="Times New Roman"/>
          <w:szCs w:val="24"/>
          <w:lang w:val="ru-RU"/>
        </w:rPr>
        <w:t>меющим значение для запуска и организации работы инфраструктурных участников: внутренним правилам, договорной модели, клиентскому пути, цифровому контролю, учёту операций, взаимодействию с внешней инфраструктурой, налоговым последствиям и управлению правов</w:t>
      </w:r>
      <w:r>
        <w:rPr>
          <w:rFonts w:cs="Times New Roman"/>
          <w:szCs w:val="24"/>
          <w:lang w:val="ru-RU"/>
        </w:rPr>
        <w:t>ыми, операционными и регуляторными рисками. Итоговое тестирование позволяет проверить степень усвоения материала и сформировать целостное представление о возможностях, ограничениях и рисках работы с цифровой валютой в регулируемой среде.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 xml:space="preserve">Курс рассчитан </w:t>
      </w:r>
      <w:r>
        <w:rPr>
          <w:rFonts w:cs="Times New Roman"/>
          <w:szCs w:val="24"/>
          <w:lang w:val="ru-RU"/>
        </w:rPr>
        <w:t>для</w:t>
      </w:r>
      <w:r w:rsidR="005E1F5E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специалистов, которым необходимо понимать правовой режим, инфраструктуру и практический порядок работы с цифровой валютой в условиях формирования нового регулирования рынка, в том числе: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сотрудникам банков, брокерских организаций, бирж, организаторов торго</w:t>
      </w:r>
      <w:r>
        <w:rPr>
          <w:rFonts w:cs="Times New Roman"/>
          <w:szCs w:val="24"/>
          <w:lang w:val="ru-RU"/>
        </w:rPr>
        <w:t>вли и иных участников финансового рынка, рассматривающих возможность участия в операциях с цифровой валютой;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сотрудникам цифровых депозитариев и организаций, планирующих осуществлять учёт цифровой валюты, предоставление доступа к адресам-идентификаторам, с</w:t>
      </w:r>
      <w:r>
        <w:rPr>
          <w:rFonts w:cs="Times New Roman"/>
          <w:szCs w:val="24"/>
          <w:lang w:val="ru-RU"/>
        </w:rPr>
        <w:t>верку данных и подтверждение прав клиентов;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представителям организаций, осуществляющих обмен цифровой валюты, а также действующих криптосервисов, которым необходимо понимать требования к работе в регулируемой модели рынка;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специалистам юридических подразде</w:t>
      </w:r>
      <w:r>
        <w:rPr>
          <w:rFonts w:cs="Times New Roman"/>
          <w:szCs w:val="24"/>
          <w:lang w:val="ru-RU"/>
        </w:rPr>
        <w:t>лений, сопровождающим сделки с цифровой валютой, договорную работу, внутренние правила, взаимодействие с инфраструктурными организациями и регуляторами;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специалистам комплаенс-подразделений, финансового мониторинга, внутреннего контроля и управления рискам</w:t>
      </w:r>
      <w:r>
        <w:rPr>
          <w:rFonts w:cs="Times New Roman"/>
          <w:szCs w:val="24"/>
          <w:lang w:val="ru-RU"/>
        </w:rPr>
        <w:t>и, участвующим в оценке операций с цифровой валютой, проверке источника происхождения активов и построении процедур цифрового контроля;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сотрудникам продуктовых, операционных и технологических подразделений, отвечающим за запуск сервисов, клиентский путь, п</w:t>
      </w:r>
      <w:r>
        <w:rPr>
          <w:rFonts w:cs="Times New Roman"/>
          <w:szCs w:val="24"/>
          <w:lang w:val="ru-RU"/>
        </w:rPr>
        <w:t>орядок совершения операций, взаимодействие с внешними площадками и внутренними информационными системами;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руководителям и лицам, принимающим решения о выходе организации на рынок цифровой валюты, выборе роли участника, построении операционной модели и оценке регуляторных рисков.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Обучение по программе не требует углублённой технической подготовки слушателей, но</w:t>
      </w:r>
      <w:r>
        <w:rPr>
          <w:rFonts w:cs="Times New Roman"/>
          <w:szCs w:val="24"/>
          <w:lang w:val="ru-RU"/>
        </w:rPr>
        <w:t xml:space="preserve"> предполагает наличие интереса к практической работе с цифровой валютой, инфраструктурой её обращения и правовыми последствиями операций.</w:t>
      </w:r>
    </w:p>
    <w:p w:rsidR="00A278CD" w:rsidRDefault="00A278CD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В результате обучения слушатели: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сформируют системное представление о цифровой валюте, её правовой природе, экономическом содержании и роли в современной финансовой системе;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изучат новое регулирование цифровой валюты, включая ключевые понятия, статус участников рынка, цифровые счета, адре</w:t>
      </w:r>
      <w:r>
        <w:rPr>
          <w:rFonts w:cs="Times New Roman"/>
          <w:szCs w:val="24"/>
          <w:lang w:val="ru-RU"/>
        </w:rPr>
        <w:t>са-идентификаторы и требования к организации обращения;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разберутся в отличиях цифровой валюты от цифровых финансовых активов, цифровых прав, цифрового рубля, электронных денежных средств и иных финансовых инструментов;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получат представление о роли банков, </w:t>
      </w:r>
      <w:r>
        <w:rPr>
          <w:rFonts w:cs="Times New Roman"/>
          <w:szCs w:val="24"/>
          <w:lang w:val="ru-RU"/>
        </w:rPr>
        <w:t>брокеров, организаторов торговли, цифровых депозитариев, обменников и иных инфраструктурных участников при операциях с цифровой валютой;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освоят порядок учёта цифровой валюты, подтверждения прав клиентов, использования адресов-идентификаторов и сверки данны</w:t>
      </w:r>
      <w:r>
        <w:rPr>
          <w:rFonts w:cs="Times New Roman"/>
          <w:szCs w:val="24"/>
          <w:lang w:val="ru-RU"/>
        </w:rPr>
        <w:t>х с информационными системами;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разберут основные виды операций с цифровой валютой, включая приобретение, продажу, мену, перевод, хранение, ввод, вывод и операции через посредников;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смогут оценивать условия допуска цифровой валюты к операциям, вопросы испол</w:t>
      </w:r>
      <w:r>
        <w:rPr>
          <w:rFonts w:cs="Times New Roman"/>
          <w:szCs w:val="24"/>
          <w:lang w:val="ru-RU"/>
        </w:rPr>
        <w:t>ьзования стейблкоинов, взаимодействия с иностранными площадками и подтверждения происхождения активов;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изучат требования цифрового контроля, AML-процедур, внутреннего контроля и управления рисками при операциях с цифровой валютой;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получат представление о н</w:t>
      </w:r>
      <w:r>
        <w:rPr>
          <w:rFonts w:cs="Times New Roman"/>
          <w:szCs w:val="24"/>
          <w:lang w:val="ru-RU"/>
        </w:rPr>
        <w:t>алоговых последствиях операций с цифровой валютой, документальном оформлении операций и отчётности перед клиентами и регуляторами;</w:t>
      </w:r>
    </w:p>
    <w:p w:rsidR="00A278CD" w:rsidRDefault="004E25E3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смогут применять полученные знания при подготовке внутренних документов, анализе правил инфраструктурных организаций, запуске</w:t>
      </w:r>
      <w:r>
        <w:rPr>
          <w:rFonts w:cs="Times New Roman"/>
          <w:szCs w:val="24"/>
          <w:lang w:val="ru-RU"/>
        </w:rPr>
        <w:t xml:space="preserve"> сервисов, сопровождении операций и принятии управленческих решений.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Ключевые преподаватели: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Пигильдин Дмитрий Николаевич</w:t>
      </w:r>
      <w:r>
        <w:rPr>
          <w:rFonts w:cs="Times New Roman"/>
          <w:szCs w:val="24"/>
          <w:lang w:val="ru-RU"/>
        </w:rPr>
        <w:t>, ведущий преподаватель Института МФЦ по направлению «Цифровые активы, финансовые технологии и информационные системы», эксперт и препо</w:t>
      </w:r>
      <w:r>
        <w:rPr>
          <w:rFonts w:cs="Times New Roman"/>
          <w:szCs w:val="24"/>
          <w:lang w:val="ru-RU"/>
        </w:rPr>
        <w:t>даватель в сфере комплаенс и противодействия легализации доходов при операциях с цифровыми валютами. Обладает более чем 15-летним опытом работы в правоохранительных органах. Специализируется на мониторинге и расследовании операций с цифровыми активами, вкл</w:t>
      </w:r>
      <w:r>
        <w:rPr>
          <w:rFonts w:cs="Times New Roman"/>
          <w:szCs w:val="24"/>
          <w:lang w:val="ru-RU"/>
        </w:rPr>
        <w:t xml:space="preserve">ючая криптовалютные и иные цифровые финансовые инструменты, а также на выстраивании систем комплаенс-контроля и </w:t>
      </w:r>
      <w:r>
        <w:rPr>
          <w:rFonts w:cs="Times New Roman"/>
          <w:szCs w:val="24"/>
        </w:rPr>
        <w:t>AML</w:t>
      </w:r>
      <w:r>
        <w:rPr>
          <w:rFonts w:cs="Times New Roman"/>
          <w:szCs w:val="24"/>
          <w:lang w:val="ru-RU"/>
        </w:rPr>
        <w:t>-процедур. Имеет опыт взаимодействия с участниками финансового рынка, государственными органами, международными и частными структурами по воп</w:t>
      </w:r>
      <w:r>
        <w:rPr>
          <w:rFonts w:cs="Times New Roman"/>
          <w:szCs w:val="24"/>
          <w:lang w:val="ru-RU"/>
        </w:rPr>
        <w:t>росам комплаенс и финансового мониторинга операций с цифровыми валютами.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Смирнов Денис Сергеевич</w:t>
      </w:r>
      <w:r>
        <w:rPr>
          <w:rFonts w:cs="Times New Roman"/>
          <w:szCs w:val="24"/>
          <w:lang w:val="ru-RU"/>
        </w:rPr>
        <w:t>, ведущий преподаватель Института МФЦ по направлению «Цифровые активы, финансовые технологии и информационные системы», исследователь блокчейн-технологий и спец</w:t>
      </w:r>
      <w:r>
        <w:rPr>
          <w:rFonts w:cs="Times New Roman"/>
          <w:szCs w:val="24"/>
          <w:lang w:val="ru-RU"/>
        </w:rPr>
        <w:t>иалист по DeFi, DAO и цифровым активам с опытом работы в индустрии более 10 лет. Консультант проектов по внедрению распределённых решений и развитию децентрализованных финансовых инструментов. Автор образовательных программ и учебных курсов по криптовалюта</w:t>
      </w:r>
      <w:r>
        <w:rPr>
          <w:rFonts w:cs="Times New Roman"/>
          <w:szCs w:val="24"/>
          <w:lang w:val="ru-RU"/>
        </w:rPr>
        <w:t>м и децентрализованным технологиям. Обладает опытом преподавания дисциплин в сфере цифровых активов и финансового комплаенса, в том числе для служащих Банка России.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Федотова Александра Михайловна</w:t>
      </w:r>
      <w:r>
        <w:rPr>
          <w:rFonts w:cs="Times New Roman"/>
          <w:szCs w:val="24"/>
          <w:lang w:val="ru-RU"/>
        </w:rPr>
        <w:t>, преподаватель Института МФЦ по направлению «Цифровые активы</w:t>
      </w:r>
      <w:r>
        <w:rPr>
          <w:rFonts w:cs="Times New Roman"/>
          <w:szCs w:val="24"/>
          <w:lang w:val="ru-RU"/>
        </w:rPr>
        <w:t xml:space="preserve">, финансовые технологии и информационные системы», юрист практики цифрового и корпоративного права. Специализируется на правовом сопровождении проектов в сфере цифровых активов, токенизации и структурирования сделок в Fintech-секторе. Имеет опыт участия в </w:t>
      </w:r>
      <w:r>
        <w:rPr>
          <w:rFonts w:cs="Times New Roman"/>
          <w:szCs w:val="24"/>
          <w:lang w:val="ru-RU"/>
        </w:rPr>
        <w:t>деятельности рабочих групп по вопросам регулирования цифровых активов. Автор научных публикаций и спикер профильных конференций по цифровому праву и финансовым технологиям.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Эбергардт Семён Александрович</w:t>
      </w:r>
      <w:r>
        <w:rPr>
          <w:rFonts w:cs="Times New Roman"/>
          <w:szCs w:val="24"/>
          <w:lang w:val="ru-RU"/>
        </w:rPr>
        <w:t>, преподаватель Института МФЦ по направлению «Цифровые</w:t>
      </w:r>
      <w:r>
        <w:rPr>
          <w:rFonts w:cs="Times New Roman"/>
          <w:szCs w:val="24"/>
          <w:lang w:val="ru-RU"/>
        </w:rPr>
        <w:t xml:space="preserve"> активы, финансовые технологии и информационные системы», практикующий юрист в сфере правового регулирования цифровых активов. Имеет опыт участия в деятельности рабочих групп при государственных органах. Автор научных статей, разработчик образовательных пр</w:t>
      </w:r>
      <w:r>
        <w:rPr>
          <w:rFonts w:cs="Times New Roman"/>
          <w:szCs w:val="24"/>
          <w:lang w:val="ru-RU"/>
        </w:rPr>
        <w:t>ограмм и методических материалов по вопросам регулирования цифровых активов. Обладает практическим опытом правового сопровождения проектов в сфере цифровых активов и финансовых технологий.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Баратова Анна Исмаиловна, </w:t>
      </w:r>
      <w:r>
        <w:rPr>
          <w:rFonts w:cs="Times New Roman"/>
          <w:bCs/>
          <w:szCs w:val="24"/>
          <w:lang w:val="ru-RU"/>
        </w:rPr>
        <w:t>эксперт в области цифровых активов, препо</w:t>
      </w:r>
      <w:r>
        <w:rPr>
          <w:rFonts w:cs="Times New Roman"/>
          <w:bCs/>
          <w:szCs w:val="24"/>
          <w:lang w:val="ru-RU"/>
        </w:rPr>
        <w:t>даватель Института МФЦ. Руководитель группы правового сопровождения цифровых финансовых активов в крупном Банке. Более 14 лет специализируется на правовом сопровождении финансовых продуктов, включая корпоративное кредитование и торговое финансирование. Име</w:t>
      </w:r>
      <w:r>
        <w:rPr>
          <w:rFonts w:cs="Times New Roman"/>
          <w:bCs/>
          <w:szCs w:val="24"/>
          <w:lang w:val="ru-RU"/>
        </w:rPr>
        <w:t>ет опыт работы с международными проектами в сфере цифровых активов и криптовалют, в том числе по вопросам противодействия отмыванию доходов и финансированию терроризма (AML/CFT).</w:t>
      </w:r>
    </w:p>
    <w:p w:rsidR="00A278CD" w:rsidRDefault="004E25E3">
      <w:pPr>
        <w:spacing w:after="0" w:line="240" w:lineRule="auto"/>
        <w:ind w:left="-567" w:right="-999" w:firstLine="567"/>
        <w:jc w:val="both"/>
        <w:rPr>
          <w:rFonts w:cs="Times New Roman"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Матис Светлана Павловна, </w:t>
      </w:r>
      <w:r>
        <w:rPr>
          <w:rFonts w:cs="Times New Roman"/>
          <w:bCs/>
          <w:szCs w:val="24"/>
          <w:lang w:val="ru-RU"/>
        </w:rPr>
        <w:t>эксперт в области цифровых активов, преподаватель Ин</w:t>
      </w:r>
      <w:r>
        <w:rPr>
          <w:rFonts w:cs="Times New Roman"/>
          <w:bCs/>
          <w:szCs w:val="24"/>
          <w:lang w:val="ru-RU"/>
        </w:rPr>
        <w:t>ститута МФЦ. Исполнительный директор крупного банка.</w:t>
      </w:r>
      <w:r w:rsidR="005E1F5E">
        <w:rPr>
          <w:rFonts w:cs="Times New Roman"/>
          <w:bCs/>
          <w:szCs w:val="24"/>
          <w:lang w:val="ru-RU"/>
        </w:rPr>
        <w:t xml:space="preserve"> </w:t>
      </w:r>
      <w:r>
        <w:rPr>
          <w:rFonts w:cs="Times New Roman"/>
          <w:bCs/>
          <w:szCs w:val="24"/>
          <w:lang w:val="ru-RU"/>
        </w:rPr>
        <w:t>Эксперт в области цифровых активов и токенизации реальных активов (RW</w:t>
      </w:r>
      <w:r>
        <w:rPr>
          <w:rFonts w:cs="Times New Roman"/>
          <w:szCs w:val="24"/>
          <w:lang w:val="ru-RU"/>
        </w:rPr>
        <w:t>A). Публикуется в отраслевых СМИ и выступает на ключевых мероприятиях индустрии. Обладает опытом спикера образовательной программы «DeF</w:t>
      </w:r>
      <w:r>
        <w:rPr>
          <w:rFonts w:cs="Times New Roman"/>
          <w:szCs w:val="24"/>
          <w:lang w:val="ru-RU"/>
        </w:rPr>
        <w:t xml:space="preserve">i и </w:t>
      </w:r>
      <w:r>
        <w:rPr>
          <w:rFonts w:cs="Times New Roman"/>
          <w:szCs w:val="24"/>
          <w:lang w:val="ru-RU"/>
        </w:rPr>
        <w:lastRenderedPageBreak/>
        <w:t>цифровые финансовые активы».</w:t>
      </w:r>
      <w:r w:rsidR="005E1F5E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bCs/>
          <w:szCs w:val="24"/>
          <w:lang w:val="ru-RU"/>
        </w:rPr>
        <w:t>В 2025 и 2026 входила в Экспертный совет финансовой премии FINAWARD.</w:t>
      </w:r>
    </w:p>
    <w:p w:rsidR="00A278CD" w:rsidRDefault="00A278CD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</w:p>
    <w:p w:rsidR="00A278CD" w:rsidRDefault="004E25E3">
      <w:pPr>
        <w:pStyle w:val="af4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Тематический план</w:t>
      </w:r>
    </w:p>
    <w:p w:rsidR="00A278CD" w:rsidRDefault="004E25E3">
      <w:pPr>
        <w:pStyle w:val="af4"/>
        <w:jc w:val="center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(общая продолжительность — 23 академически</w:t>
      </w:r>
      <w:r w:rsidR="005E1F5E">
        <w:rPr>
          <w:rFonts w:cs="Times New Roman"/>
          <w:i/>
          <w:szCs w:val="24"/>
          <w:lang w:val="ru-RU"/>
        </w:rPr>
        <w:t>х</w:t>
      </w:r>
      <w:r>
        <w:rPr>
          <w:rFonts w:cs="Times New Roman"/>
          <w:i/>
          <w:szCs w:val="24"/>
          <w:lang w:val="ru-RU"/>
        </w:rPr>
        <w:t xml:space="preserve"> часа, 6 занятий)</w:t>
      </w:r>
    </w:p>
    <w:p w:rsidR="00A278CD" w:rsidRDefault="00A278CD">
      <w:pPr>
        <w:spacing w:after="0" w:line="240" w:lineRule="auto"/>
        <w:ind w:left="-567" w:right="-999"/>
        <w:jc w:val="both"/>
        <w:rPr>
          <w:rFonts w:cs="Times New Roman"/>
          <w:szCs w:val="24"/>
          <w:lang w:val="ru-RU"/>
        </w:rPr>
      </w:pPr>
    </w:p>
    <w:tbl>
      <w:tblPr>
        <w:tblStyle w:val="aff4"/>
        <w:tblW w:w="10490" w:type="dxa"/>
        <w:tblInd w:w="-572" w:type="dxa"/>
        <w:tblLook w:val="04A0"/>
      </w:tblPr>
      <w:tblGrid>
        <w:gridCol w:w="1232"/>
        <w:gridCol w:w="3116"/>
        <w:gridCol w:w="3799"/>
        <w:gridCol w:w="2441"/>
      </w:tblGrid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Модуль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Тема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Содержание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Продолжительность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1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Цифровая валюта в современной финансовой системе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Развитие рынка цифровой валюты и его связь с цифровизацией финансового рынка.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Цифровая валюта как экономический, технологический и правовой феномен.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Отличие цифровой валюты от цифрового рубля, электронных де</w:t>
            </w:r>
            <w:r>
              <w:rPr>
                <w:rFonts w:cs="Times New Roman"/>
                <w:szCs w:val="24"/>
                <w:lang w:val="ru-RU"/>
              </w:rPr>
              <w:t>нежных средств, цифровых финансовых активов, цифровых прав и традиционных финансовых инструментов.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модели использования цифровой валюты: инвестиции, обмен, хранение, расчёты и трансграничные операции.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Значение нового регулирования для банков, брок</w:t>
            </w:r>
            <w:r>
              <w:rPr>
                <w:rFonts w:cs="Times New Roman"/>
                <w:szCs w:val="24"/>
                <w:lang w:val="ru-RU"/>
              </w:rPr>
              <w:t>еров, бирж, цифровых депозитариев, обменников и иных инфраструктурных участников.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2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Экономическая и технологическая природа цифровой валюты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Экономическое содержание цифровой валюты и причины её использования участниками рынка.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Публичные блокчейны, распределённые реестры, адреса, ключи доступа и базовая логика совершения операций.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виды криптоактивов и вопросы их правовой квалификации.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Особенности наиболее распространённых цифровых валют и стейблкоинов, включая практическ</w:t>
            </w:r>
            <w:r>
              <w:rPr>
                <w:rFonts w:cs="Times New Roman"/>
                <w:szCs w:val="24"/>
                <w:lang w:val="ru-RU"/>
              </w:rPr>
              <w:t>ие вопросы использования USDT</w:t>
            </w:r>
            <w:r w:rsidR="005E1F5E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и других стейблкоинов.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Технологические, рыночные, санкционные, операционные и контрагентские риски при работе с цифровой валютой.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3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Правовой режим цифровой валюты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Понятие цифровой валюты и её место в системе </w:t>
            </w:r>
            <w:r>
              <w:rPr>
                <w:rFonts w:cs="Times New Roman"/>
                <w:szCs w:val="24"/>
                <w:lang w:val="ru-RU"/>
              </w:rPr>
              <w:t>объектов гражданских прав.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Соотношение цифровой валюты с цифровыми правами, ЦФА, иностранными цифровыми </w:t>
            </w:r>
            <w:r>
              <w:rPr>
                <w:rFonts w:cs="Times New Roman"/>
                <w:szCs w:val="24"/>
                <w:lang w:val="ru-RU"/>
              </w:rPr>
              <w:lastRenderedPageBreak/>
              <w:t>инструментами, ценными бумагами и денежными средствами.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Правовые ограничения использования цифровой валюты в Российской Федерации.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Допустимые модели обр</w:t>
            </w:r>
            <w:r>
              <w:rPr>
                <w:rFonts w:cs="Times New Roman"/>
                <w:szCs w:val="24"/>
                <w:lang w:val="ru-RU"/>
              </w:rPr>
              <w:t>ащения цифровой валюты и ограничения на её использование в качестве встречного предоставления.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Использование цифровой валюты во внешнеторговой деятельности и операциях между резидентами и нерезидентами.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Полномочия Банка России и значение подзаконного регул</w:t>
            </w:r>
            <w:r>
              <w:rPr>
                <w:rFonts w:cs="Times New Roman"/>
                <w:szCs w:val="24"/>
                <w:lang w:val="ru-RU"/>
              </w:rPr>
              <w:t>ирования для практического функционирования рынка.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4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Новое законодательство о цифровой валюте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Законодательство</w:t>
            </w:r>
            <w:r w:rsidR="005E1F5E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о цифровой валюте и цифровых правах.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Ключевые понятия новой модели: цифровая валюта, обращение цифровой валюты, цифровой счёт, адрес-идентификатор, ключ доступа, мена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Переход от фрагментарного регулирования криптовалютного рынка к модели допуска профессиональных участников.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</w:t>
            </w:r>
            <w:r>
              <w:rPr>
                <w:rFonts w:cs="Times New Roman"/>
                <w:szCs w:val="24"/>
                <w:lang w:val="ru-RU"/>
              </w:rPr>
              <w:t>оль нормативных актов Банка России в определении практического порядка обращения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Переходные положения и практические последствия нового регулирования для действующих криптосервисов, финансовых организаций и инфраструктурных участников.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</w:t>
            </w:r>
            <w:r>
              <w:rPr>
                <w:rFonts w:cs="Times New Roman"/>
                <w:szCs w:val="24"/>
                <w:lang w:val="ru-RU"/>
              </w:rPr>
              <w:t>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Модуль</w:t>
            </w:r>
            <w:r>
              <w:rPr>
                <w:rFonts w:cs="Times New Roman"/>
                <w:szCs w:val="24"/>
                <w:lang w:val="ru-RU"/>
              </w:rPr>
              <w:t xml:space="preserve"> 5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Участники и инфраструктура рынка цифровой валюты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Инфраструктура рынка цифровой валюты как система профессиональных участников, технологических решений, правил учёта и механизмов совершения операций.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Разграничение ролей организатора торгов</w:t>
            </w:r>
            <w:r>
              <w:rPr>
                <w:rFonts w:cs="Times New Roman"/>
                <w:szCs w:val="24"/>
                <w:lang w:val="ru-RU"/>
              </w:rPr>
              <w:t>ли, брокера, доверительного управляющего, цифрового депозитария, организации, осуществляющей обмен цифровой валюты, банка и иных участников.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Условия осуществления деятельности инфраструктурными </w:t>
            </w:r>
            <w:r>
              <w:rPr>
                <w:rFonts w:cs="Times New Roman"/>
                <w:szCs w:val="24"/>
                <w:lang w:val="ru-RU"/>
              </w:rPr>
              <w:lastRenderedPageBreak/>
              <w:t>участниками и связь с действующими лицензиями на финансовом ры</w:t>
            </w:r>
            <w:r>
              <w:rPr>
                <w:rFonts w:cs="Times New Roman"/>
                <w:szCs w:val="24"/>
                <w:lang w:val="ru-RU"/>
              </w:rPr>
              <w:t>нке.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Модель взаимодействия биржи, брокера, банка, цифрового депозитария, обменника и клиента при совершении операций с цифровой валютой.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Договорная схема взаимодействия участников: клиентские договоры, брокерское обслуживание, депозитарное обслуживание, ра</w:t>
            </w:r>
            <w:r>
              <w:rPr>
                <w:rFonts w:cs="Times New Roman"/>
                <w:szCs w:val="24"/>
                <w:lang w:val="ru-RU"/>
              </w:rPr>
              <w:t>счёты и обмен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Распределение ответственности, операционные риски и контроль соблюдения ограничений при обращении цифровой валюты.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6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Цифровые счета, адреса-идентификаторы и учёт цифровой валюты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Цифровой счёт как основа учёта цифровой валюты в новой модели регулирования.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Адрес-идентификатор и ключ доступа: юридическое и техническое значение.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Различие между адресами-идентификаторами, администрируемыми цифровым депозитарием, и адресами, к которым ци</w:t>
            </w:r>
            <w:r>
              <w:rPr>
                <w:rFonts w:cs="Times New Roman"/>
                <w:szCs w:val="24"/>
                <w:lang w:val="ru-RU"/>
              </w:rPr>
              <w:t>фровой депозитарий предоставляет доступ.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Учёт цифровой валюты у цифрового депозитария, подтверждение прав клиента и фиксация перехода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Сверка данных цифрового депозитария с информационной системой и особенности сверки по разным видам адресо</w:t>
            </w:r>
            <w:r>
              <w:rPr>
                <w:rFonts w:cs="Times New Roman"/>
                <w:szCs w:val="24"/>
                <w:lang w:val="ru-RU"/>
              </w:rPr>
              <w:t>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Перемещение цифровой валюты между разными информационными системами: техническая возможность, юридические ограничения и операционные сценарии.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7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Сделки и операции с цифровой валютой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виды операций с цифровой валютой: приобрете</w:t>
            </w:r>
            <w:r>
              <w:rPr>
                <w:rFonts w:cs="Times New Roman"/>
                <w:szCs w:val="24"/>
                <w:lang w:val="ru-RU"/>
              </w:rPr>
              <w:t>ние, продажа, мена, перевод, хранение, ввод, вывод и операции через посредников.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Совершение сделок с цифровой валютой на организованных торгах и вне организованных торгов.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Исполнение поручений клиента брокером при операциях с цифровой валютой.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Операции орг</w:t>
            </w:r>
            <w:r>
              <w:rPr>
                <w:rFonts w:cs="Times New Roman"/>
                <w:szCs w:val="24"/>
                <w:lang w:val="ru-RU"/>
              </w:rPr>
              <w:t>анизации, осуществляющей обмен цифровой валюты, и отличие такой деятельности от брокерской и биржевой модели.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Исполнение операций по цифровым счетам и адресам-идентификаторам.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Практические сценарии приобретения, продажи, перевода и учёта цифровой валюты кл</w:t>
            </w:r>
            <w:r>
              <w:rPr>
                <w:rFonts w:cs="Times New Roman"/>
                <w:szCs w:val="24"/>
                <w:lang w:val="ru-RU"/>
              </w:rPr>
              <w:t>иентами инфраструктурных организаций.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Модуль </w:t>
            </w:r>
            <w:r>
              <w:rPr>
                <w:rFonts w:cs="Times New Roman"/>
                <w:szCs w:val="24"/>
                <w:lang w:val="ru-RU"/>
              </w:rPr>
              <w:t>8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Допуск цифровой валюты/иностранных цифровых инструментов к обращению и внешняя инфраструктура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Условия допуска цифровой валюты к обращению в регулируемой инфраструктуре.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Перечни цифровых валют, доступных для совершения операций, и порядок их определения.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Стейблкоины: возможность допуска к операциям и ограничения использования.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Взаимодействие с иностранными торговыми площадками, информационными системами и поставщиками ликв</w:t>
            </w:r>
            <w:r>
              <w:rPr>
                <w:rFonts w:cs="Times New Roman"/>
                <w:szCs w:val="24"/>
                <w:lang w:val="ru-RU"/>
              </w:rPr>
              <w:t>идности.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Порядок приобретения цифровой валюты инфраструктурными участниками и подтверждение источника её происхождения.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Правовые, санкционные и операционные риски при работе с внешней инфраструктурой.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Модуль 9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 xml:space="preserve">Цифровой анализ, AML и управление </w:t>
            </w:r>
            <w:r>
              <w:rPr>
                <w:rFonts w:cs="Times New Roman"/>
                <w:b/>
                <w:bCs/>
                <w:szCs w:val="24"/>
                <w:lang w:val="ru-RU"/>
              </w:rPr>
              <w:t>рисками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Цифровой анализ при операциях с цифровой валютой.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цифровой валюты и адресов-идентификаторов на связь с противоправной деятельностью (</w:t>
            </w:r>
            <w:r>
              <w:rPr>
                <w:rFonts w:cs="Times New Roman"/>
                <w:szCs w:val="24"/>
              </w:rPr>
              <w:t>KYT</w:t>
            </w:r>
            <w:r>
              <w:rPr>
                <w:rFonts w:cs="Times New Roman"/>
                <w:szCs w:val="24"/>
                <w:lang w:val="ru-RU"/>
              </w:rPr>
              <w:t>).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Риск-скоринг адресов, транзакций, клиентов и источников происхождения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Идентификация</w:t>
            </w:r>
            <w:r>
              <w:rPr>
                <w:rFonts w:cs="Times New Roman"/>
                <w:szCs w:val="24"/>
                <w:lang w:val="ru-RU"/>
              </w:rPr>
              <w:t xml:space="preserve"> клиентов, представителей, выгодоприобретателей и бенефициарных владельцев при операциях с цифровой валютой.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Мониторинг операций, выявление подозрительных транзакций, работа с высокорисковыми активами и основания отказа в совершении операции.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Внутренний ко</w:t>
            </w:r>
            <w:r>
              <w:rPr>
                <w:rFonts w:cs="Times New Roman"/>
                <w:szCs w:val="24"/>
                <w:lang w:val="ru-RU"/>
              </w:rPr>
              <w:t xml:space="preserve">нтроль, управление рисками, взаимодействие с Банком </w:t>
            </w:r>
            <w:r>
              <w:rPr>
                <w:rFonts w:cs="Times New Roman"/>
                <w:szCs w:val="24"/>
                <w:lang w:val="ru-RU"/>
              </w:rPr>
              <w:lastRenderedPageBreak/>
              <w:t>России, Росфинмониторингом и иными уполномоченными органами.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Модуль 10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Налогообложение, учёт и документальное оформление операций с цифровой валютой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Налоговая квалификация цифровой валюты и операций с ней для целей налогообложения.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Налогообложение операций с цифровой валютой у физических лиц и организаций.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Налоговые последствия приобретения, реализации, обмена, перевода и хранения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</w:t>
            </w:r>
            <w:r>
              <w:rPr>
                <w:rFonts w:cs="Times New Roman"/>
                <w:szCs w:val="24"/>
                <w:lang w:val="ru-RU"/>
              </w:rPr>
              <w:t>гообложение комиссий и иных доходов инфраструктурных участников при совершении операций с цифровой валютой.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Документальное подтверждение операций с цифровой валютой, источников приобретения и стоимости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Связь налогового учёта, внутреннего к</w:t>
            </w:r>
            <w:r>
              <w:rPr>
                <w:rFonts w:cs="Times New Roman"/>
                <w:szCs w:val="24"/>
                <w:lang w:val="ru-RU"/>
              </w:rPr>
              <w:t>онтроля, AML-процедур и отчётности перед клиентами и регуляторами.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Модуль 11 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Запуск и организация работы участника рынка цифровой валюты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Подготовка организации к работе на рынке цифровой валюты: выбор роли, оценка требований и построение опера</w:t>
            </w:r>
            <w:r>
              <w:rPr>
                <w:rFonts w:cs="Times New Roman"/>
                <w:szCs w:val="24"/>
                <w:lang w:val="ru-RU"/>
              </w:rPr>
              <w:t>ционной модели.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Внутренние документы и правила инфраструктурного участника: порядок обслуживания клиентов, совершения операций, учёта цифровой валюты, доступа к адресам-идентификаторам и проведения цифрового контроля.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Клиентский путь: идентификация, открыт</w:t>
            </w:r>
            <w:r>
              <w:rPr>
                <w:rFonts w:cs="Times New Roman"/>
                <w:szCs w:val="24"/>
                <w:lang w:val="ru-RU"/>
              </w:rPr>
              <w:t>ие счёта, доступ к адресу-идентификатору, подача распоряжения, совершение сделки, подтверждение прав, отчётность и закрытие операции.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Анализ правил инфраструктурных организаций: перечень доступных цифровых валют, порядок ввода и вывода активов, ограничения</w:t>
            </w:r>
            <w:r>
              <w:rPr>
                <w:rFonts w:cs="Times New Roman"/>
                <w:szCs w:val="24"/>
                <w:lang w:val="ru-RU"/>
              </w:rPr>
              <w:t xml:space="preserve"> операций, основания отказа, комиссии, ответственность и порядок разрешения споров.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Договорные конструкции и распределение ответственности между клиентом, брокером, организатором торговли, цифровым </w:t>
            </w:r>
            <w:r>
              <w:rPr>
                <w:rFonts w:cs="Times New Roman"/>
                <w:szCs w:val="24"/>
                <w:lang w:val="ru-RU"/>
              </w:rPr>
              <w:lastRenderedPageBreak/>
              <w:t>депозитарием, обменником и банком.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Квалифицированные инвесторы: возможности, условия и порядок признания.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Типовые ошибки при запуске деятельности: смешение ролей участников, неполное описание клиентского пути, слабый AML-контур, отсутствие правил сверки, недостаточная договорная база и неоп</w:t>
            </w:r>
            <w:r>
              <w:rPr>
                <w:rFonts w:cs="Times New Roman"/>
                <w:szCs w:val="24"/>
                <w:lang w:val="ru-RU"/>
              </w:rPr>
              <w:t>ределённость ответственности.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A278CD">
        <w:tc>
          <w:tcPr>
            <w:tcW w:w="1134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Итоговая аттестация</w:t>
            </w:r>
          </w:p>
        </w:tc>
        <w:tc>
          <w:tcPr>
            <w:tcW w:w="3116" w:type="dxa"/>
            <w:noWrap/>
          </w:tcPr>
          <w:p w:rsidR="00A278CD" w:rsidRDefault="004E25E3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Итоговое тестирование</w:t>
            </w:r>
          </w:p>
        </w:tc>
        <w:tc>
          <w:tcPr>
            <w:tcW w:w="3799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усвоения ключевых понятий и терминов в сфере цифровой валюты.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Оценка понимания правовой природы цифровой валюты и её отличий от цифровых финансовых активов, цифровых прав, цифрового рубля и электронных денежных средств.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знаний новой модели регулирования цифровой валюты и статуса инфраструктурных участников р</w:t>
            </w:r>
            <w:r>
              <w:rPr>
                <w:rFonts w:cs="Times New Roman"/>
                <w:szCs w:val="24"/>
                <w:lang w:val="ru-RU"/>
              </w:rPr>
              <w:t>ынка.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понимания порядка учёта цифровой валюты, использования цифровых счетов, адресов-идентификаторов и совершения операций.</w:t>
            </w:r>
          </w:p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Оценка понимания требований цифрового контроля, AML, управления рисками, налогообложения и документального оформления опер</w:t>
            </w:r>
            <w:r>
              <w:rPr>
                <w:rFonts w:cs="Times New Roman"/>
                <w:szCs w:val="24"/>
                <w:lang w:val="ru-RU"/>
              </w:rPr>
              <w:t>аций с цифровой валютой.</w:t>
            </w:r>
          </w:p>
        </w:tc>
        <w:tc>
          <w:tcPr>
            <w:tcW w:w="2441" w:type="dxa"/>
            <w:noWrap/>
          </w:tcPr>
          <w:p w:rsidR="00A278CD" w:rsidRDefault="004E25E3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 ак. час</w:t>
            </w:r>
          </w:p>
        </w:tc>
      </w:tr>
    </w:tbl>
    <w:p w:rsidR="00A278CD" w:rsidRDefault="00A278CD">
      <w:pPr>
        <w:spacing w:after="0" w:line="240" w:lineRule="auto"/>
        <w:rPr>
          <w:rFonts w:cs="Times New Roman"/>
          <w:szCs w:val="24"/>
        </w:rPr>
      </w:pPr>
    </w:p>
    <w:p w:rsidR="00A278CD" w:rsidRDefault="004E25E3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Документ об обучении</w:t>
      </w:r>
      <w:r>
        <w:rPr>
          <w:rFonts w:cs="Times New Roman"/>
          <w:szCs w:val="24"/>
          <w:lang w:val="ru-RU"/>
        </w:rPr>
        <w:t>. Слушатели, завершившие обучение, получат удостоверение о повышении квалификации.</w:t>
      </w:r>
    </w:p>
    <w:p w:rsidR="00A278CD" w:rsidRDefault="00A278CD">
      <w:pPr>
        <w:spacing w:after="0" w:line="240" w:lineRule="auto"/>
        <w:ind w:left="-567" w:right="-1283" w:firstLine="567"/>
        <w:jc w:val="both"/>
        <w:rPr>
          <w:szCs w:val="24"/>
          <w:lang w:val="ru-RU"/>
        </w:rPr>
      </w:pPr>
    </w:p>
    <w:p w:rsidR="00A278CD" w:rsidRDefault="004E25E3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Форма обучения и расписание занятий</w:t>
      </w:r>
      <w:r>
        <w:rPr>
          <w:rFonts w:cs="Times New Roman"/>
          <w:szCs w:val="24"/>
          <w:lang w:val="ru-RU"/>
        </w:rPr>
        <w:t>. Курс проходит в онлайн-формате. Обучение проводится в вечернее вре</w:t>
      </w:r>
      <w:r>
        <w:rPr>
          <w:rFonts w:cs="Times New Roman"/>
          <w:szCs w:val="24"/>
          <w:lang w:val="ru-RU"/>
        </w:rPr>
        <w:t>мя с 18.30 до 21.40 мск (с перерывом) по расписанию, с которым можно ознакомиться у куратора курса. Расписание занятий также может размещаться на сайте. Ссылка на трансляцию и (или) логин, пароль заблаговременно направляются на электронную почту слушателя.</w:t>
      </w:r>
    </w:p>
    <w:p w:rsidR="00A278CD" w:rsidRDefault="00A278CD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A278CD" w:rsidRDefault="004E25E3">
      <w:pPr>
        <w:spacing w:after="0" w:line="240" w:lineRule="auto"/>
        <w:ind w:left="-567" w:right="-1283" w:firstLine="567"/>
        <w:jc w:val="both"/>
        <w:rPr>
          <w:rFonts w:cs="Times New Roman"/>
          <w:color w:val="000000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Доступ к учебным материалам</w:t>
      </w:r>
      <w:r>
        <w:rPr>
          <w:rFonts w:cs="Times New Roman"/>
          <w:szCs w:val="24"/>
          <w:lang w:val="ru-RU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:rsidR="00A278CD" w:rsidRDefault="00A278CD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A278CD" w:rsidRDefault="004E25E3">
      <w:pPr>
        <w:spacing w:after="0" w:line="240" w:lineRule="auto"/>
        <w:ind w:left="-567" w:right="-1283" w:firstLine="567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Стоимость обучения.</w:t>
      </w:r>
      <w:r>
        <w:rPr>
          <w:rFonts w:cs="Times New Roman"/>
          <w:szCs w:val="24"/>
          <w:lang w:val="ru-RU"/>
        </w:rPr>
        <w:t xml:space="preserve"> 35</w:t>
      </w:r>
      <w:r>
        <w:rPr>
          <w:rFonts w:cs="Times New Roman"/>
          <w:szCs w:val="24"/>
        </w:rPr>
        <w:t> </w:t>
      </w:r>
      <w:r>
        <w:rPr>
          <w:rFonts w:cs="Times New Roman"/>
          <w:szCs w:val="24"/>
          <w:lang w:val="ru-RU"/>
        </w:rPr>
        <w:t>000 (тридцать пять тысяч) рублей за одного слушателя. Предоставляется с</w:t>
      </w:r>
      <w:r>
        <w:rPr>
          <w:rFonts w:cs="Times New Roman"/>
          <w:szCs w:val="24"/>
          <w:lang w:val="ru-RU"/>
        </w:rPr>
        <w:t>кидка в размере 10%, начиная со второго слушателя от одной организации, а также клиентам (заказчикам) Института МФЦ, Учебного центра МФЦ.</w:t>
      </w:r>
    </w:p>
    <w:p w:rsidR="00A278CD" w:rsidRDefault="00A278CD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A278CD" w:rsidRDefault="004E25E3">
      <w:pPr>
        <w:spacing w:after="0" w:line="240" w:lineRule="auto"/>
        <w:ind w:left="-567" w:right="-1283" w:firstLine="567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  <w:lang w:val="ru-RU"/>
        </w:rPr>
        <w:lastRenderedPageBreak/>
        <w:t>Запись на обучение</w:t>
      </w:r>
      <w:r>
        <w:rPr>
          <w:rFonts w:cs="Times New Roman"/>
          <w:szCs w:val="24"/>
          <w:lang w:val="ru-RU"/>
        </w:rPr>
        <w:t xml:space="preserve">. По вопросам участия в обучении обращаться к Шуваевой Марии, </w:t>
      </w:r>
      <w:hyperlink r:id="rId9" w:tooltip="mailto:seminar2@educenter.ru" w:history="1">
        <w:r>
          <w:rPr>
            <w:rStyle w:val="affc"/>
          </w:rPr>
          <w:t>seminar</w:t>
        </w:r>
        <w:r>
          <w:rPr>
            <w:rStyle w:val="affc"/>
            <w:lang w:val="ru-RU"/>
          </w:rPr>
          <w:t>2@</w:t>
        </w:r>
        <w:r>
          <w:rPr>
            <w:rStyle w:val="affc"/>
          </w:rPr>
          <w:t>educenter</w:t>
        </w:r>
        <w:r>
          <w:rPr>
            <w:rStyle w:val="affc"/>
            <w:lang w:val="ru-RU"/>
          </w:rPr>
          <w:t>.</w:t>
        </w:r>
        <w:r>
          <w:rPr>
            <w:rStyle w:val="affc"/>
          </w:rPr>
          <w:t>ru</w:t>
        </w:r>
      </w:hyperlink>
      <w:r>
        <w:rPr>
          <w:rFonts w:cs="Times New Roman"/>
          <w:szCs w:val="24"/>
          <w:lang w:val="ru-RU"/>
        </w:rPr>
        <w:t xml:space="preserve"> или Махнович Инне, </w:t>
      </w:r>
      <w:hyperlink r:id="rId10" w:tooltip="mailto:seminar6@educenter.ru" w:history="1">
        <w:r>
          <w:rPr>
            <w:rStyle w:val="affc"/>
          </w:rPr>
          <w:t>seminar</w:t>
        </w:r>
        <w:r>
          <w:rPr>
            <w:rStyle w:val="affc"/>
            <w:lang w:val="ru-RU"/>
          </w:rPr>
          <w:t>6@</w:t>
        </w:r>
        <w:r>
          <w:rPr>
            <w:rStyle w:val="affc"/>
          </w:rPr>
          <w:t>educenter</w:t>
        </w:r>
        <w:r>
          <w:rPr>
            <w:rStyle w:val="affc"/>
            <w:lang w:val="ru-RU"/>
          </w:rPr>
          <w:t>.</w:t>
        </w:r>
        <w:r>
          <w:rPr>
            <w:rStyle w:val="affc"/>
          </w:rPr>
          <w:t>ru</w:t>
        </w:r>
      </w:hyperlink>
      <w:r>
        <w:rPr>
          <w:rFonts w:cs="Times New Roman"/>
          <w:szCs w:val="24"/>
          <w:lang w:val="ru-RU"/>
        </w:rPr>
        <w:t xml:space="preserve">. </w:t>
      </w:r>
      <w:r>
        <w:rPr>
          <w:rFonts w:cs="Times New Roman"/>
          <w:szCs w:val="24"/>
        </w:rPr>
        <w:t xml:space="preserve">Тел. +7-495-9212273, сайт: </w:t>
      </w:r>
      <w:hyperlink r:id="rId11" w:tooltip="http://www.educenter.ru" w:history="1">
        <w:r>
          <w:rPr>
            <w:rStyle w:val="affc"/>
          </w:rPr>
          <w:t>www.educenter.ru</w:t>
        </w:r>
      </w:hyperlink>
    </w:p>
    <w:sectPr w:rsidR="00A278CD" w:rsidSect="00A278CD">
      <w:footerReference w:type="default" r:id="rId12"/>
      <w:footerReference w:type="first" r:id="rId13"/>
      <w:pgSz w:w="12240" w:h="15840"/>
      <w:pgMar w:top="1135" w:right="1800" w:bottom="1135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5E3" w:rsidRDefault="004E25E3">
      <w:pPr>
        <w:spacing w:after="0" w:line="240" w:lineRule="auto"/>
      </w:pPr>
      <w:r>
        <w:separator/>
      </w:r>
    </w:p>
  </w:endnote>
  <w:endnote w:type="continuationSeparator" w:id="1">
    <w:p w:rsidR="004E25E3" w:rsidRDefault="004E2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9060232"/>
      <w:docPartObj>
        <w:docPartGallery w:val="Page Numbers (Bottom of Page)"/>
        <w:docPartUnique/>
      </w:docPartObj>
    </w:sdtPr>
    <w:sdtContent>
      <w:p w:rsidR="00A278CD" w:rsidRDefault="00A278CD">
        <w:pPr>
          <w:pStyle w:val="Footer"/>
          <w:jc w:val="center"/>
        </w:pPr>
        <w:r>
          <w:fldChar w:fldCharType="begin"/>
        </w:r>
        <w:r w:rsidR="004E25E3">
          <w:instrText>PAGE   \* MERGEFORMAT</w:instrText>
        </w:r>
        <w:r>
          <w:fldChar w:fldCharType="separate"/>
        </w:r>
        <w:r w:rsidR="005E1F5E" w:rsidRPr="005E1F5E">
          <w:rPr>
            <w:noProof/>
            <w:lang w:val="ru-RU"/>
          </w:rPr>
          <w:t>10</w:t>
        </w:r>
        <w:r>
          <w:fldChar w:fldCharType="end"/>
        </w:r>
      </w:p>
    </w:sdtContent>
  </w:sdt>
  <w:p w:rsidR="00A278CD" w:rsidRDefault="00A278C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380928"/>
      <w:docPartObj>
        <w:docPartGallery w:val="Page Numbers (Bottom of Page)"/>
        <w:docPartUnique/>
      </w:docPartObj>
    </w:sdtPr>
    <w:sdtContent>
      <w:p w:rsidR="00A278CD" w:rsidRDefault="00A278CD">
        <w:pPr>
          <w:pStyle w:val="Footer"/>
          <w:jc w:val="center"/>
        </w:pPr>
        <w:r>
          <w:fldChar w:fldCharType="begin"/>
        </w:r>
        <w:r w:rsidR="004E25E3">
          <w:instrText>PAGE   \* MERGEFORMAT</w:instrText>
        </w:r>
        <w:r>
          <w:fldChar w:fldCharType="separate"/>
        </w:r>
        <w:r w:rsidR="005E1F5E" w:rsidRPr="005E1F5E">
          <w:rPr>
            <w:noProof/>
            <w:lang w:val="ru-RU"/>
          </w:rPr>
          <w:t>1</w:t>
        </w:r>
        <w:r>
          <w:fldChar w:fldCharType="end"/>
        </w:r>
      </w:p>
    </w:sdtContent>
  </w:sdt>
  <w:p w:rsidR="00A278CD" w:rsidRDefault="00A278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5E3" w:rsidRDefault="004E25E3">
      <w:pPr>
        <w:spacing w:after="0" w:line="240" w:lineRule="auto"/>
      </w:pPr>
      <w:r>
        <w:separator/>
      </w:r>
    </w:p>
  </w:footnote>
  <w:footnote w:type="continuationSeparator" w:id="1">
    <w:p w:rsidR="004E25E3" w:rsidRDefault="004E2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4605"/>
    <w:multiLevelType w:val="hybridMultilevel"/>
    <w:tmpl w:val="C05E901C"/>
    <w:lvl w:ilvl="0" w:tplc="2F9AAFDC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0F7682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F4A7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E81B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E472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F27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C07F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887B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C88E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9AF04AC"/>
    <w:multiLevelType w:val="hybridMultilevel"/>
    <w:tmpl w:val="E292969C"/>
    <w:lvl w:ilvl="0" w:tplc="737A7F62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5984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ECF3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AB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10A9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361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A0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B2FD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6C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E194E"/>
    <w:multiLevelType w:val="hybridMultilevel"/>
    <w:tmpl w:val="E9AE41A6"/>
    <w:lvl w:ilvl="0" w:tplc="FA7C328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369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E261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5830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B6EF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AEDF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229E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FEFB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4052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A67695C"/>
    <w:multiLevelType w:val="hybridMultilevel"/>
    <w:tmpl w:val="66D43A2C"/>
    <w:lvl w:ilvl="0" w:tplc="2C9E0538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780AA2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C2B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60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810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ACC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2F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58F7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A65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31B9B"/>
    <w:multiLevelType w:val="hybridMultilevel"/>
    <w:tmpl w:val="59D83A50"/>
    <w:lvl w:ilvl="0" w:tplc="81C00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E268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561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25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A5E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6A0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1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BE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6E5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F193A"/>
    <w:multiLevelType w:val="hybridMultilevel"/>
    <w:tmpl w:val="FDD8D9A0"/>
    <w:lvl w:ilvl="0" w:tplc="68DC1A02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30C5B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5EB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CB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A96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44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66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E891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883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42463"/>
    <w:multiLevelType w:val="hybridMultilevel"/>
    <w:tmpl w:val="371CB3B2"/>
    <w:lvl w:ilvl="0" w:tplc="57E8BA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74298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1E95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A294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D4F7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286E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A436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9801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D214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EA63270"/>
    <w:multiLevelType w:val="hybridMultilevel"/>
    <w:tmpl w:val="5D6AFE40"/>
    <w:lvl w:ilvl="0" w:tplc="654A1C58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A465A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1605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6AFD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00B7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061E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CAF3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50DB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6A4F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FAD0A74"/>
    <w:multiLevelType w:val="hybridMultilevel"/>
    <w:tmpl w:val="848EBA1C"/>
    <w:lvl w:ilvl="0" w:tplc="57C46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EFC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A81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B82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8D9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A08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C9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C1F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436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4235D"/>
    <w:multiLevelType w:val="hybridMultilevel"/>
    <w:tmpl w:val="DBEA2BC6"/>
    <w:lvl w:ilvl="0" w:tplc="A3103754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4A4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EEF0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6657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42E5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E807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0A84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9D2D8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A884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28C3574"/>
    <w:multiLevelType w:val="hybridMultilevel"/>
    <w:tmpl w:val="E52692E2"/>
    <w:lvl w:ilvl="0" w:tplc="7FC2B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1E14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58F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0A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56C3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C6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A7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E22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9C1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D4F3C"/>
    <w:multiLevelType w:val="hybridMultilevel"/>
    <w:tmpl w:val="2098F2BE"/>
    <w:lvl w:ilvl="0" w:tplc="E7089D1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6BF060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A0EC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2CB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96C8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0A56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7761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E8008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34BE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A68083B"/>
    <w:multiLevelType w:val="hybridMultilevel"/>
    <w:tmpl w:val="BAD86DA4"/>
    <w:lvl w:ilvl="0" w:tplc="C79AD5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14AF5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F61E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D473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E67E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167B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5EEA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60E6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1A98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5A7330DC"/>
    <w:multiLevelType w:val="hybridMultilevel"/>
    <w:tmpl w:val="3EF21960"/>
    <w:lvl w:ilvl="0" w:tplc="EBC45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4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6CD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02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1668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826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6A5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C843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861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E47D71"/>
    <w:multiLevelType w:val="hybridMultilevel"/>
    <w:tmpl w:val="644E59C0"/>
    <w:lvl w:ilvl="0" w:tplc="6D1C22DE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12AA5B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480D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F2EC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9CFF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3AA6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B06F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882D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1E15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62023F56"/>
    <w:multiLevelType w:val="hybridMultilevel"/>
    <w:tmpl w:val="F6C807C4"/>
    <w:lvl w:ilvl="0" w:tplc="579EA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4CD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304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E9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F0C0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2A2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A2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A21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726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A8313E"/>
    <w:multiLevelType w:val="hybridMultilevel"/>
    <w:tmpl w:val="A9DE2066"/>
    <w:lvl w:ilvl="0" w:tplc="533A2782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FBB4E5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69C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DA7F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645A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B250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AE9C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A063C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A416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14"/>
  </w:num>
  <w:num w:numId="7">
    <w:abstractNumId w:val="16"/>
  </w:num>
  <w:num w:numId="8">
    <w:abstractNumId w:val="12"/>
  </w:num>
  <w:num w:numId="9">
    <w:abstractNumId w:val="11"/>
  </w:num>
  <w:num w:numId="10">
    <w:abstractNumId w:val="13"/>
  </w:num>
  <w:num w:numId="11">
    <w:abstractNumId w:val="10"/>
  </w:num>
  <w:num w:numId="12">
    <w:abstractNumId w:val="4"/>
  </w:num>
  <w:num w:numId="13">
    <w:abstractNumId w:val="15"/>
  </w:num>
  <w:num w:numId="14">
    <w:abstractNumId w:val="3"/>
  </w:num>
  <w:num w:numId="15">
    <w:abstractNumId w:val="8"/>
  </w:num>
  <w:num w:numId="16">
    <w:abstractNumId w:val="5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78CD"/>
    <w:rsid w:val="004E25E3"/>
    <w:rsid w:val="005E1F5E"/>
    <w:rsid w:val="00A27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278CD"/>
    <w:rPr>
      <w:rFonts w:ascii="Times New Roman" w:hAnsi="Times New Roman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link w:val="Heading1"/>
    <w:uiPriority w:val="9"/>
    <w:rsid w:val="00A278C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link w:val="Heading2"/>
    <w:uiPriority w:val="9"/>
    <w:rsid w:val="00A278C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link w:val="Heading3"/>
    <w:uiPriority w:val="9"/>
    <w:rsid w:val="00A278C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link w:val="Heading4"/>
    <w:uiPriority w:val="9"/>
    <w:rsid w:val="00A278C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link w:val="Heading5"/>
    <w:uiPriority w:val="9"/>
    <w:rsid w:val="00A278C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link w:val="Heading6"/>
    <w:uiPriority w:val="9"/>
    <w:rsid w:val="00A278C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link w:val="Heading7"/>
    <w:uiPriority w:val="9"/>
    <w:rsid w:val="00A278C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link w:val="Heading8"/>
    <w:uiPriority w:val="9"/>
    <w:rsid w:val="00A278C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link w:val="Heading9"/>
    <w:uiPriority w:val="9"/>
    <w:rsid w:val="00A278CD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link w:val="a5"/>
    <w:uiPriority w:val="10"/>
    <w:rsid w:val="00A278CD"/>
    <w:rPr>
      <w:sz w:val="48"/>
      <w:szCs w:val="48"/>
    </w:rPr>
  </w:style>
  <w:style w:type="character" w:customStyle="1" w:styleId="SubtitleChar">
    <w:name w:val="Subtitle Char"/>
    <w:basedOn w:val="a2"/>
    <w:link w:val="a6"/>
    <w:uiPriority w:val="11"/>
    <w:rsid w:val="00A278CD"/>
    <w:rPr>
      <w:sz w:val="24"/>
      <w:szCs w:val="24"/>
    </w:rPr>
  </w:style>
  <w:style w:type="character" w:customStyle="1" w:styleId="QuoteChar">
    <w:name w:val="Quote Char"/>
    <w:link w:val="21"/>
    <w:uiPriority w:val="29"/>
    <w:rsid w:val="00A278CD"/>
    <w:rPr>
      <w:i/>
    </w:rPr>
  </w:style>
  <w:style w:type="character" w:customStyle="1" w:styleId="IntenseQuoteChar">
    <w:name w:val="Intense Quote Char"/>
    <w:link w:val="a7"/>
    <w:uiPriority w:val="30"/>
    <w:rsid w:val="00A278CD"/>
    <w:rPr>
      <w:i/>
    </w:rPr>
  </w:style>
  <w:style w:type="character" w:customStyle="1" w:styleId="HeaderChar">
    <w:name w:val="Header Char"/>
    <w:basedOn w:val="a2"/>
    <w:link w:val="Header"/>
    <w:uiPriority w:val="99"/>
    <w:rsid w:val="00A278CD"/>
  </w:style>
  <w:style w:type="character" w:customStyle="1" w:styleId="FooterChar">
    <w:name w:val="Footer Char"/>
    <w:basedOn w:val="a2"/>
    <w:link w:val="Footer"/>
    <w:uiPriority w:val="99"/>
    <w:rsid w:val="00A278CD"/>
  </w:style>
  <w:style w:type="character" w:customStyle="1" w:styleId="CaptionChar">
    <w:name w:val="Caption Char"/>
    <w:basedOn w:val="a2"/>
    <w:link w:val="Caption"/>
    <w:uiPriority w:val="35"/>
    <w:rsid w:val="00A278C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A278C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A278C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A278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A278C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1"/>
    <w:link w:val="a9"/>
    <w:uiPriority w:val="99"/>
    <w:semiHidden/>
    <w:unhideWhenUsed/>
    <w:rsid w:val="00A278CD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A278CD"/>
    <w:rPr>
      <w:sz w:val="18"/>
    </w:rPr>
  </w:style>
  <w:style w:type="character" w:styleId="aa">
    <w:name w:val="footnote reference"/>
    <w:basedOn w:val="a2"/>
    <w:uiPriority w:val="99"/>
    <w:unhideWhenUsed/>
    <w:rsid w:val="00A278CD"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sid w:val="00A278CD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A278CD"/>
    <w:rPr>
      <w:sz w:val="20"/>
    </w:rPr>
  </w:style>
  <w:style w:type="character" w:styleId="ad">
    <w:name w:val="endnote reference"/>
    <w:basedOn w:val="a2"/>
    <w:uiPriority w:val="99"/>
    <w:semiHidden/>
    <w:unhideWhenUsed/>
    <w:rsid w:val="00A278CD"/>
    <w:rPr>
      <w:vertAlign w:val="superscript"/>
    </w:rPr>
  </w:style>
  <w:style w:type="paragraph" w:styleId="1">
    <w:name w:val="toc 1"/>
    <w:basedOn w:val="a1"/>
    <w:next w:val="a1"/>
    <w:uiPriority w:val="39"/>
    <w:unhideWhenUsed/>
    <w:rsid w:val="00A278CD"/>
    <w:pPr>
      <w:spacing w:after="57"/>
    </w:pPr>
  </w:style>
  <w:style w:type="paragraph" w:styleId="22">
    <w:name w:val="toc 2"/>
    <w:basedOn w:val="a1"/>
    <w:next w:val="a1"/>
    <w:uiPriority w:val="39"/>
    <w:unhideWhenUsed/>
    <w:rsid w:val="00A278CD"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rsid w:val="00A278CD"/>
    <w:pPr>
      <w:spacing w:after="57"/>
      <w:ind w:left="567"/>
    </w:pPr>
  </w:style>
  <w:style w:type="paragraph" w:styleId="4">
    <w:name w:val="toc 4"/>
    <w:basedOn w:val="a1"/>
    <w:next w:val="a1"/>
    <w:uiPriority w:val="39"/>
    <w:unhideWhenUsed/>
    <w:rsid w:val="00A278CD"/>
    <w:pPr>
      <w:spacing w:after="57"/>
      <w:ind w:left="850"/>
    </w:pPr>
  </w:style>
  <w:style w:type="paragraph" w:styleId="5">
    <w:name w:val="toc 5"/>
    <w:basedOn w:val="a1"/>
    <w:next w:val="a1"/>
    <w:uiPriority w:val="39"/>
    <w:unhideWhenUsed/>
    <w:rsid w:val="00A278CD"/>
    <w:pPr>
      <w:spacing w:after="57"/>
      <w:ind w:left="1134"/>
    </w:pPr>
  </w:style>
  <w:style w:type="paragraph" w:styleId="6">
    <w:name w:val="toc 6"/>
    <w:basedOn w:val="a1"/>
    <w:next w:val="a1"/>
    <w:uiPriority w:val="39"/>
    <w:unhideWhenUsed/>
    <w:rsid w:val="00A278CD"/>
    <w:pPr>
      <w:spacing w:after="57"/>
      <w:ind w:left="1417"/>
    </w:pPr>
  </w:style>
  <w:style w:type="paragraph" w:styleId="7">
    <w:name w:val="toc 7"/>
    <w:basedOn w:val="a1"/>
    <w:next w:val="a1"/>
    <w:uiPriority w:val="39"/>
    <w:unhideWhenUsed/>
    <w:rsid w:val="00A278CD"/>
    <w:pPr>
      <w:spacing w:after="57"/>
      <w:ind w:left="1701"/>
    </w:pPr>
  </w:style>
  <w:style w:type="paragraph" w:styleId="8">
    <w:name w:val="toc 8"/>
    <w:basedOn w:val="a1"/>
    <w:next w:val="a1"/>
    <w:uiPriority w:val="39"/>
    <w:unhideWhenUsed/>
    <w:rsid w:val="00A278CD"/>
    <w:pPr>
      <w:spacing w:after="57"/>
      <w:ind w:left="1984"/>
    </w:pPr>
  </w:style>
  <w:style w:type="paragraph" w:styleId="9">
    <w:name w:val="toc 9"/>
    <w:basedOn w:val="a1"/>
    <w:next w:val="a1"/>
    <w:uiPriority w:val="39"/>
    <w:unhideWhenUsed/>
    <w:rsid w:val="00A278CD"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  <w:rsid w:val="00A278CD"/>
    <w:pPr>
      <w:spacing w:after="0"/>
    </w:pPr>
  </w:style>
  <w:style w:type="paragraph" w:customStyle="1" w:styleId="Heading1">
    <w:name w:val="Heading 1"/>
    <w:basedOn w:val="a1"/>
    <w:next w:val="a1"/>
    <w:link w:val="10"/>
    <w:uiPriority w:val="9"/>
    <w:qFormat/>
    <w:rsid w:val="00A278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1"/>
    <w:next w:val="a1"/>
    <w:link w:val="23"/>
    <w:uiPriority w:val="9"/>
    <w:unhideWhenUsed/>
    <w:qFormat/>
    <w:rsid w:val="00A278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1"/>
    <w:next w:val="a1"/>
    <w:link w:val="32"/>
    <w:uiPriority w:val="9"/>
    <w:unhideWhenUsed/>
    <w:qFormat/>
    <w:rsid w:val="00A278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1"/>
    <w:next w:val="a1"/>
    <w:link w:val="40"/>
    <w:uiPriority w:val="9"/>
    <w:semiHidden/>
    <w:unhideWhenUsed/>
    <w:qFormat/>
    <w:rsid w:val="00A278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1"/>
    <w:next w:val="a1"/>
    <w:link w:val="50"/>
    <w:uiPriority w:val="9"/>
    <w:semiHidden/>
    <w:unhideWhenUsed/>
    <w:qFormat/>
    <w:rsid w:val="00A278C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1"/>
    <w:next w:val="a1"/>
    <w:link w:val="60"/>
    <w:uiPriority w:val="9"/>
    <w:semiHidden/>
    <w:unhideWhenUsed/>
    <w:qFormat/>
    <w:rsid w:val="00A278C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1"/>
    <w:next w:val="a1"/>
    <w:link w:val="70"/>
    <w:uiPriority w:val="9"/>
    <w:semiHidden/>
    <w:unhideWhenUsed/>
    <w:qFormat/>
    <w:rsid w:val="00A278C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1"/>
    <w:next w:val="a1"/>
    <w:link w:val="80"/>
    <w:uiPriority w:val="9"/>
    <w:semiHidden/>
    <w:unhideWhenUsed/>
    <w:qFormat/>
    <w:rsid w:val="00A278C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Heading9">
    <w:name w:val="Heading 9"/>
    <w:basedOn w:val="a1"/>
    <w:next w:val="a1"/>
    <w:link w:val="90"/>
    <w:uiPriority w:val="9"/>
    <w:semiHidden/>
    <w:unhideWhenUsed/>
    <w:qFormat/>
    <w:rsid w:val="00A278C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Header">
    <w:name w:val="Header"/>
    <w:basedOn w:val="a1"/>
    <w:link w:val="af"/>
    <w:uiPriority w:val="99"/>
    <w:unhideWhenUsed/>
    <w:rsid w:val="00A2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Header"/>
    <w:uiPriority w:val="99"/>
    <w:rsid w:val="00A278CD"/>
  </w:style>
  <w:style w:type="paragraph" w:customStyle="1" w:styleId="Footer">
    <w:name w:val="Footer"/>
    <w:basedOn w:val="a1"/>
    <w:link w:val="af0"/>
    <w:uiPriority w:val="99"/>
    <w:unhideWhenUsed/>
    <w:rsid w:val="00A2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Нижний колонтитул Знак"/>
    <w:basedOn w:val="a2"/>
    <w:link w:val="Footer"/>
    <w:uiPriority w:val="99"/>
    <w:rsid w:val="00A278CD"/>
  </w:style>
  <w:style w:type="paragraph" w:styleId="af1">
    <w:name w:val="No Spacing"/>
    <w:uiPriority w:val="1"/>
    <w:qFormat/>
    <w:rsid w:val="00A278CD"/>
    <w:pPr>
      <w:spacing w:after="0" w:line="240" w:lineRule="auto"/>
    </w:pPr>
  </w:style>
  <w:style w:type="character" w:customStyle="1" w:styleId="10">
    <w:name w:val="Заголовок 1 Знак"/>
    <w:basedOn w:val="a2"/>
    <w:link w:val="Heading1"/>
    <w:uiPriority w:val="9"/>
    <w:rsid w:val="00A278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Заголовок 2 Знак"/>
    <w:basedOn w:val="a2"/>
    <w:link w:val="Heading2"/>
    <w:uiPriority w:val="9"/>
    <w:rsid w:val="00A278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Heading3"/>
    <w:uiPriority w:val="9"/>
    <w:rsid w:val="00A278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Title"/>
    <w:basedOn w:val="a1"/>
    <w:next w:val="a1"/>
    <w:link w:val="af2"/>
    <w:uiPriority w:val="10"/>
    <w:qFormat/>
    <w:rsid w:val="00A278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2"/>
    <w:link w:val="a5"/>
    <w:uiPriority w:val="10"/>
    <w:rsid w:val="00A278C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1"/>
    <w:next w:val="a1"/>
    <w:link w:val="af3"/>
    <w:uiPriority w:val="11"/>
    <w:qFormat/>
    <w:rsid w:val="00A278C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3">
    <w:name w:val="Подзаголовок Знак"/>
    <w:basedOn w:val="a2"/>
    <w:link w:val="a6"/>
    <w:uiPriority w:val="11"/>
    <w:rsid w:val="00A278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List Paragraph"/>
    <w:basedOn w:val="a1"/>
    <w:uiPriority w:val="34"/>
    <w:qFormat/>
    <w:rsid w:val="00A278CD"/>
    <w:pPr>
      <w:ind w:left="720"/>
      <w:contextualSpacing/>
    </w:pPr>
  </w:style>
  <w:style w:type="paragraph" w:styleId="af5">
    <w:name w:val="Body Text"/>
    <w:basedOn w:val="a1"/>
    <w:link w:val="af6"/>
    <w:uiPriority w:val="99"/>
    <w:unhideWhenUsed/>
    <w:rsid w:val="00A278CD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rsid w:val="00A278CD"/>
  </w:style>
  <w:style w:type="paragraph" w:styleId="24">
    <w:name w:val="Body Text 2"/>
    <w:basedOn w:val="a1"/>
    <w:link w:val="25"/>
    <w:uiPriority w:val="99"/>
    <w:unhideWhenUsed/>
    <w:rsid w:val="00A278CD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A278CD"/>
  </w:style>
  <w:style w:type="paragraph" w:styleId="33">
    <w:name w:val="Body Text 3"/>
    <w:basedOn w:val="a1"/>
    <w:link w:val="34"/>
    <w:uiPriority w:val="99"/>
    <w:unhideWhenUsed/>
    <w:rsid w:val="00A278C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278CD"/>
    <w:rPr>
      <w:sz w:val="16"/>
      <w:szCs w:val="16"/>
    </w:rPr>
  </w:style>
  <w:style w:type="paragraph" w:styleId="af7">
    <w:name w:val="List"/>
    <w:basedOn w:val="a1"/>
    <w:uiPriority w:val="99"/>
    <w:unhideWhenUsed/>
    <w:rsid w:val="00A278CD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A278CD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A278CD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A278CD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A278CD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A278CD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A278CD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A278CD"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rsid w:val="00A278CD"/>
    <w:pPr>
      <w:numPr>
        <w:numId w:val="7"/>
      </w:numPr>
      <w:contextualSpacing/>
    </w:pPr>
  </w:style>
  <w:style w:type="paragraph" w:styleId="af8">
    <w:name w:val="List Continue"/>
    <w:basedOn w:val="a1"/>
    <w:uiPriority w:val="99"/>
    <w:unhideWhenUsed/>
    <w:rsid w:val="00A278CD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A278C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A278CD"/>
    <w:pPr>
      <w:spacing w:after="120"/>
      <w:ind w:left="1080"/>
      <w:contextualSpacing/>
    </w:pPr>
  </w:style>
  <w:style w:type="paragraph" w:styleId="af9">
    <w:name w:val="macro"/>
    <w:link w:val="afa"/>
    <w:uiPriority w:val="99"/>
    <w:unhideWhenUsed/>
    <w:rsid w:val="00A278C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a">
    <w:name w:val="Текст макроса Знак"/>
    <w:basedOn w:val="a2"/>
    <w:link w:val="af9"/>
    <w:uiPriority w:val="99"/>
    <w:rsid w:val="00A278CD"/>
    <w:rPr>
      <w:rFonts w:ascii="Courier" w:hAnsi="Courier"/>
      <w:sz w:val="20"/>
      <w:szCs w:val="20"/>
    </w:rPr>
  </w:style>
  <w:style w:type="paragraph" w:styleId="21">
    <w:name w:val="Quote"/>
    <w:basedOn w:val="a1"/>
    <w:next w:val="a1"/>
    <w:link w:val="28"/>
    <w:uiPriority w:val="29"/>
    <w:qFormat/>
    <w:rsid w:val="00A278CD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1"/>
    <w:uiPriority w:val="29"/>
    <w:rsid w:val="00A278CD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Heading4"/>
    <w:uiPriority w:val="9"/>
    <w:semiHidden/>
    <w:rsid w:val="00A278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Heading5"/>
    <w:uiPriority w:val="9"/>
    <w:semiHidden/>
    <w:rsid w:val="00A278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Heading6"/>
    <w:uiPriority w:val="9"/>
    <w:semiHidden/>
    <w:rsid w:val="00A278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Heading7"/>
    <w:uiPriority w:val="9"/>
    <w:semiHidden/>
    <w:rsid w:val="00A278C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Heading8"/>
    <w:uiPriority w:val="9"/>
    <w:semiHidden/>
    <w:rsid w:val="00A278C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Heading9"/>
    <w:uiPriority w:val="9"/>
    <w:semiHidden/>
    <w:rsid w:val="00A278C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aption">
    <w:name w:val="Caption"/>
    <w:basedOn w:val="a1"/>
    <w:next w:val="a1"/>
    <w:link w:val="CaptionChar"/>
    <w:uiPriority w:val="35"/>
    <w:semiHidden/>
    <w:unhideWhenUsed/>
    <w:qFormat/>
    <w:rsid w:val="00A278C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b">
    <w:name w:val="Strong"/>
    <w:basedOn w:val="a2"/>
    <w:uiPriority w:val="22"/>
    <w:qFormat/>
    <w:rsid w:val="00A278CD"/>
    <w:rPr>
      <w:b/>
      <w:bCs/>
    </w:rPr>
  </w:style>
  <w:style w:type="character" w:styleId="afc">
    <w:name w:val="Emphasis"/>
    <w:basedOn w:val="a2"/>
    <w:uiPriority w:val="20"/>
    <w:qFormat/>
    <w:rsid w:val="00A278CD"/>
    <w:rPr>
      <w:i/>
      <w:iCs/>
    </w:rPr>
  </w:style>
  <w:style w:type="paragraph" w:styleId="a7">
    <w:name w:val="Intense Quote"/>
    <w:basedOn w:val="a1"/>
    <w:next w:val="a1"/>
    <w:link w:val="afd"/>
    <w:uiPriority w:val="30"/>
    <w:qFormat/>
    <w:rsid w:val="00A278C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d">
    <w:name w:val="Выделенная цитата Знак"/>
    <w:basedOn w:val="a2"/>
    <w:link w:val="a7"/>
    <w:uiPriority w:val="30"/>
    <w:rsid w:val="00A278CD"/>
    <w:rPr>
      <w:b/>
      <w:bCs/>
      <w:i/>
      <w:iCs/>
      <w:color w:val="4F81BD" w:themeColor="accent1"/>
    </w:rPr>
  </w:style>
  <w:style w:type="character" w:styleId="afe">
    <w:name w:val="Subtle Emphasis"/>
    <w:basedOn w:val="a2"/>
    <w:uiPriority w:val="19"/>
    <w:qFormat/>
    <w:rsid w:val="00A278CD"/>
    <w:rPr>
      <w:i/>
      <w:iCs/>
      <w:color w:val="808080" w:themeColor="text1" w:themeTint="7F"/>
    </w:rPr>
  </w:style>
  <w:style w:type="character" w:styleId="aff">
    <w:name w:val="Intense Emphasis"/>
    <w:basedOn w:val="a2"/>
    <w:uiPriority w:val="21"/>
    <w:qFormat/>
    <w:rsid w:val="00A278CD"/>
    <w:rPr>
      <w:b/>
      <w:bCs/>
      <w:i/>
      <w:iCs/>
      <w:color w:val="4F81BD" w:themeColor="accent1"/>
    </w:rPr>
  </w:style>
  <w:style w:type="character" w:styleId="aff0">
    <w:name w:val="Subtle Reference"/>
    <w:basedOn w:val="a2"/>
    <w:uiPriority w:val="31"/>
    <w:qFormat/>
    <w:rsid w:val="00A278CD"/>
    <w:rPr>
      <w:smallCaps/>
      <w:color w:val="C0504D" w:themeColor="accent2"/>
      <w:u w:val="single"/>
    </w:rPr>
  </w:style>
  <w:style w:type="character" w:styleId="aff1">
    <w:name w:val="Intense Reference"/>
    <w:basedOn w:val="a2"/>
    <w:uiPriority w:val="32"/>
    <w:qFormat/>
    <w:rsid w:val="00A278CD"/>
    <w:rPr>
      <w:b/>
      <w:bCs/>
      <w:smallCaps/>
      <w:color w:val="C0504D" w:themeColor="accent2"/>
      <w:spacing w:val="5"/>
      <w:u w:val="single"/>
    </w:rPr>
  </w:style>
  <w:style w:type="character" w:styleId="aff2">
    <w:name w:val="Book Title"/>
    <w:basedOn w:val="a2"/>
    <w:uiPriority w:val="33"/>
    <w:qFormat/>
    <w:rsid w:val="00A278CD"/>
    <w:rPr>
      <w:b/>
      <w:bCs/>
      <w:smallCaps/>
      <w:spacing w:val="5"/>
    </w:rPr>
  </w:style>
  <w:style w:type="paragraph" w:styleId="aff3">
    <w:name w:val="TOC Heading"/>
    <w:basedOn w:val="Heading1"/>
    <w:next w:val="a1"/>
    <w:uiPriority w:val="39"/>
    <w:semiHidden/>
    <w:unhideWhenUsed/>
    <w:qFormat/>
    <w:rsid w:val="00A278CD"/>
    <w:pPr>
      <w:outlineLvl w:val="9"/>
    </w:pPr>
  </w:style>
  <w:style w:type="table" w:styleId="aff4">
    <w:name w:val="Table Grid"/>
    <w:basedOn w:val="a3"/>
    <w:uiPriority w:val="59"/>
    <w:rsid w:val="00A278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Light Shading"/>
    <w:basedOn w:val="a3"/>
    <w:uiPriority w:val="60"/>
    <w:rsid w:val="00A278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278C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278C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278C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278C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278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278C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6">
    <w:name w:val="Light List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7">
    <w:name w:val="Light Grid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Shading 2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2">
    <w:name w:val="Medium List 1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3">
    <w:name w:val="Medium Grid 1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278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278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8">
    <w:name w:val="Dark List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278C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9">
    <w:name w:val="Colorful Shading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Colorful List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b">
    <w:name w:val="Colorful Grid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278C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c">
    <w:name w:val="Hyperlink"/>
    <w:basedOn w:val="a2"/>
    <w:uiPriority w:val="99"/>
    <w:rsid w:val="00A278CD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1"/>
    <w:uiPriority w:val="1"/>
    <w:qFormat/>
    <w:rsid w:val="00A278CD"/>
    <w:pPr>
      <w:widowControl w:val="0"/>
      <w:spacing w:after="0" w:line="240" w:lineRule="auto"/>
    </w:pPr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EEAD77-D26C-4EF8-867C-8BFBDE29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2925</Words>
  <Characters>16675</Characters>
  <Application>Microsoft Office Word</Application>
  <DocSecurity>0</DocSecurity>
  <Lines>138</Lines>
  <Paragraphs>39</Paragraphs>
  <ScaleCrop>false</ScaleCrop>
  <Manager/>
  <Company/>
  <LinksUpToDate>false</LinksUpToDate>
  <CharactersWithSpaces>19561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Анастасия</cp:lastModifiedBy>
  <cp:revision>4</cp:revision>
  <dcterms:created xsi:type="dcterms:W3CDTF">2026-09-28T10:12:00Z</dcterms:created>
  <dcterms:modified xsi:type="dcterms:W3CDTF">2026-09-28T10:37:00Z</dcterms:modified>
  <cp:category/>
</cp:coreProperties>
</file>