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047" w:rsidRPr="00680B0B" w:rsidRDefault="00A42047" w:rsidP="008B4EB8">
      <w:pPr>
        <w:pStyle w:val="TableParagraph"/>
        <w:jc w:val="center"/>
        <w:rPr>
          <w:rFonts w:ascii="Times New Roman" w:hAnsi="Times New Roman"/>
          <w:b/>
          <w:sz w:val="24"/>
          <w:szCs w:val="24"/>
          <w:lang w:val="ru-RU" w:eastAsia="ru-RU"/>
        </w:rPr>
      </w:pPr>
      <w:r w:rsidRPr="00680B0B">
        <w:rPr>
          <w:rFonts w:ascii="Times New Roman" w:hAnsi="Times New Roman"/>
          <w:noProof/>
          <w:sz w:val="24"/>
          <w:szCs w:val="24"/>
          <w:lang w:val="ru-RU" w:eastAsia="ru-RU"/>
        </w:rPr>
        <w:drawing>
          <wp:inline distT="0" distB="0" distL="0" distR="0" wp14:anchorId="79319659" wp14:editId="7E61BB81">
            <wp:extent cx="6248400" cy="783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8400" cy="783590"/>
                    </a:xfrm>
                    <a:prstGeom prst="rect">
                      <a:avLst/>
                    </a:prstGeom>
                    <a:noFill/>
                    <a:ln>
                      <a:noFill/>
                    </a:ln>
                  </pic:spPr>
                </pic:pic>
              </a:graphicData>
            </a:graphic>
          </wp:inline>
        </w:drawing>
      </w:r>
    </w:p>
    <w:p w:rsidR="009F47E2" w:rsidRPr="00680B0B" w:rsidRDefault="009F47E2" w:rsidP="009F47E2">
      <w:pPr>
        <w:jc w:val="center"/>
        <w:rPr>
          <w:rFonts w:ascii="Times New Roman" w:hAnsi="Times New Roman" w:cs="Times New Roman"/>
          <w:b/>
          <w:sz w:val="24"/>
          <w:szCs w:val="24"/>
        </w:rPr>
      </w:pPr>
      <w:r w:rsidRPr="00680B0B">
        <w:rPr>
          <w:rFonts w:ascii="Times New Roman" w:hAnsi="Times New Roman" w:cs="Times New Roman"/>
          <w:b/>
          <w:sz w:val="24"/>
          <w:szCs w:val="24"/>
        </w:rPr>
        <w:t>Курс повышения квалификации</w:t>
      </w:r>
    </w:p>
    <w:p w:rsidR="00F148D8" w:rsidRPr="00680B0B" w:rsidRDefault="00F148D8" w:rsidP="009F47E2">
      <w:pPr>
        <w:pStyle w:val="TableParagraph"/>
        <w:jc w:val="center"/>
        <w:rPr>
          <w:rFonts w:ascii="Times New Roman" w:hAnsi="Times New Roman"/>
          <w:b/>
          <w:sz w:val="24"/>
          <w:szCs w:val="24"/>
          <w:lang w:val="ru-RU" w:eastAsia="ru-RU"/>
        </w:rPr>
      </w:pPr>
      <w:r w:rsidRPr="00680B0B">
        <w:rPr>
          <w:rFonts w:ascii="Times New Roman" w:hAnsi="Times New Roman"/>
          <w:b/>
          <w:sz w:val="24"/>
          <w:szCs w:val="24"/>
          <w:lang w:val="ru-RU" w:eastAsia="ru-RU"/>
        </w:rPr>
        <w:t xml:space="preserve"> «</w:t>
      </w:r>
      <w:r w:rsidR="008D7BEE" w:rsidRPr="008D7BEE">
        <w:rPr>
          <w:rFonts w:ascii="Times New Roman" w:hAnsi="Times New Roman"/>
          <w:b/>
          <w:sz w:val="24"/>
          <w:szCs w:val="24"/>
          <w:lang w:val="ru-RU" w:eastAsia="ru-RU"/>
        </w:rPr>
        <w:t xml:space="preserve">Отраслевые стандарты бухгалтерского учета: </w:t>
      </w:r>
      <w:proofErr w:type="spellStart"/>
      <w:r w:rsidR="008D7BEE" w:rsidRPr="008D7BEE">
        <w:rPr>
          <w:rFonts w:ascii="Times New Roman" w:hAnsi="Times New Roman"/>
          <w:b/>
          <w:sz w:val="24"/>
          <w:szCs w:val="24"/>
          <w:lang w:val="ru-RU" w:eastAsia="ru-RU"/>
        </w:rPr>
        <w:t>некредитные</w:t>
      </w:r>
      <w:proofErr w:type="spellEnd"/>
      <w:r w:rsidR="008D7BEE" w:rsidRPr="008D7BEE">
        <w:rPr>
          <w:rFonts w:ascii="Times New Roman" w:hAnsi="Times New Roman"/>
          <w:b/>
          <w:sz w:val="24"/>
          <w:szCs w:val="24"/>
          <w:lang w:val="ru-RU" w:eastAsia="ru-RU"/>
        </w:rPr>
        <w:t xml:space="preserve"> финансовые организации</w:t>
      </w:r>
      <w:r w:rsidR="009F47E2" w:rsidRPr="00680B0B">
        <w:rPr>
          <w:rFonts w:ascii="Times New Roman" w:hAnsi="Times New Roman"/>
          <w:b/>
          <w:sz w:val="24"/>
          <w:szCs w:val="24"/>
          <w:lang w:val="ru-RU" w:eastAsia="ru-RU"/>
        </w:rPr>
        <w:t>»</w:t>
      </w:r>
    </w:p>
    <w:p w:rsidR="009F47E2" w:rsidRPr="00680B0B" w:rsidRDefault="00664FD7" w:rsidP="009F47E2">
      <w:pPr>
        <w:pStyle w:val="TableParagraph"/>
        <w:jc w:val="center"/>
        <w:rPr>
          <w:rFonts w:ascii="Times New Roman" w:hAnsi="Times New Roman"/>
          <w:b/>
          <w:sz w:val="24"/>
          <w:szCs w:val="24"/>
          <w:lang w:val="ru-RU" w:eastAsia="ru-RU"/>
        </w:rPr>
      </w:pPr>
      <w:r>
        <w:rPr>
          <w:rFonts w:ascii="Times New Roman" w:hAnsi="Times New Roman"/>
          <w:b/>
          <w:sz w:val="24"/>
          <w:szCs w:val="24"/>
          <w:lang w:val="ru-RU" w:eastAsia="ru-RU"/>
        </w:rPr>
        <w:t>27</w:t>
      </w:r>
      <w:r w:rsidR="009F47E2" w:rsidRPr="00680B0B">
        <w:rPr>
          <w:rFonts w:ascii="Times New Roman" w:hAnsi="Times New Roman"/>
          <w:b/>
          <w:sz w:val="24"/>
          <w:szCs w:val="24"/>
          <w:lang w:val="ru-RU" w:eastAsia="ru-RU"/>
        </w:rPr>
        <w:t xml:space="preserve"> ноября -</w:t>
      </w:r>
      <w:r>
        <w:rPr>
          <w:rFonts w:ascii="Times New Roman" w:hAnsi="Times New Roman"/>
          <w:b/>
          <w:sz w:val="24"/>
          <w:szCs w:val="24"/>
          <w:lang w:val="ru-RU" w:eastAsia="ru-RU"/>
        </w:rPr>
        <w:t>01</w:t>
      </w:r>
      <w:r w:rsidR="009F47E2" w:rsidRPr="00680B0B">
        <w:rPr>
          <w:rFonts w:ascii="Times New Roman" w:hAnsi="Times New Roman"/>
          <w:b/>
          <w:sz w:val="24"/>
          <w:szCs w:val="24"/>
          <w:lang w:val="ru-RU" w:eastAsia="ru-RU"/>
        </w:rPr>
        <w:t xml:space="preserve"> </w:t>
      </w:r>
      <w:r>
        <w:rPr>
          <w:rFonts w:ascii="Times New Roman" w:hAnsi="Times New Roman"/>
          <w:b/>
          <w:sz w:val="24"/>
          <w:szCs w:val="24"/>
          <w:lang w:val="ru-RU" w:eastAsia="ru-RU"/>
        </w:rPr>
        <w:t>декабря</w:t>
      </w:r>
      <w:r w:rsidR="009F47E2" w:rsidRPr="00680B0B">
        <w:rPr>
          <w:rFonts w:ascii="Times New Roman" w:hAnsi="Times New Roman"/>
          <w:b/>
          <w:sz w:val="24"/>
          <w:szCs w:val="24"/>
          <w:lang w:val="ru-RU" w:eastAsia="ru-RU"/>
        </w:rPr>
        <w:t xml:space="preserve"> 2023 г.</w:t>
      </w:r>
    </w:p>
    <w:p w:rsidR="009F47E2" w:rsidRPr="00680B0B" w:rsidRDefault="009F47E2" w:rsidP="009F47E2">
      <w:pPr>
        <w:pStyle w:val="TableParagraph"/>
        <w:jc w:val="center"/>
        <w:rPr>
          <w:rFonts w:ascii="Times New Roman" w:hAnsi="Times New Roman"/>
          <w:b/>
          <w:sz w:val="24"/>
          <w:szCs w:val="24"/>
          <w:lang w:val="ru-RU" w:eastAsia="ru-RU"/>
        </w:rPr>
      </w:pPr>
    </w:p>
    <w:p w:rsidR="009F47E2" w:rsidRPr="00680B0B" w:rsidRDefault="00F148D8" w:rsidP="009F47E2">
      <w:pPr>
        <w:ind w:firstLine="567"/>
        <w:rPr>
          <w:rFonts w:ascii="Times New Roman" w:hAnsi="Times New Roman" w:cs="Times New Roman"/>
          <w:sz w:val="24"/>
          <w:szCs w:val="24"/>
        </w:rPr>
      </w:pPr>
      <w:r w:rsidRPr="00680B0B">
        <w:rPr>
          <w:rFonts w:ascii="Times New Roman" w:hAnsi="Times New Roman" w:cs="Times New Roman"/>
          <w:bCs/>
          <w:iCs/>
          <w:sz w:val="24"/>
          <w:szCs w:val="24"/>
        </w:rPr>
        <w:t>Институт МФЦ</w:t>
      </w:r>
      <w:r w:rsidRPr="00680B0B">
        <w:rPr>
          <w:rFonts w:ascii="Times New Roman" w:hAnsi="Times New Roman" w:cs="Times New Roman"/>
          <w:sz w:val="24"/>
          <w:szCs w:val="24"/>
        </w:rPr>
        <w:t xml:space="preserve"> приглашает </w:t>
      </w:r>
      <w:r w:rsidR="009F47E2" w:rsidRPr="00680B0B">
        <w:rPr>
          <w:rFonts w:ascii="Times New Roman" w:hAnsi="Times New Roman" w:cs="Times New Roman"/>
          <w:sz w:val="24"/>
          <w:szCs w:val="24"/>
        </w:rPr>
        <w:t>пройти</w:t>
      </w:r>
      <w:r w:rsidRPr="00680B0B">
        <w:rPr>
          <w:rFonts w:ascii="Times New Roman" w:hAnsi="Times New Roman" w:cs="Times New Roman"/>
          <w:sz w:val="24"/>
          <w:szCs w:val="24"/>
        </w:rPr>
        <w:t xml:space="preserve"> </w:t>
      </w:r>
      <w:r w:rsidR="009F47E2" w:rsidRPr="00680B0B">
        <w:rPr>
          <w:rFonts w:ascii="Times New Roman" w:hAnsi="Times New Roman" w:cs="Times New Roman"/>
          <w:sz w:val="24"/>
          <w:szCs w:val="24"/>
        </w:rPr>
        <w:t>обучение (повышение квалификации) по программе</w:t>
      </w:r>
      <w:r w:rsidRPr="00680B0B">
        <w:rPr>
          <w:rFonts w:ascii="Times New Roman" w:hAnsi="Times New Roman" w:cs="Times New Roman"/>
          <w:sz w:val="24"/>
          <w:szCs w:val="24"/>
        </w:rPr>
        <w:t>: «</w:t>
      </w:r>
      <w:r w:rsidR="008D7BEE" w:rsidRPr="008D7BEE">
        <w:rPr>
          <w:rFonts w:ascii="Times New Roman" w:hAnsi="Times New Roman" w:cs="Times New Roman"/>
          <w:b/>
          <w:sz w:val="24"/>
          <w:szCs w:val="24"/>
        </w:rPr>
        <w:t xml:space="preserve">Отраслевые стандарты бухгалтерского учета: </w:t>
      </w:r>
      <w:proofErr w:type="spellStart"/>
      <w:r w:rsidR="008D7BEE" w:rsidRPr="008D7BEE">
        <w:rPr>
          <w:rFonts w:ascii="Times New Roman" w:hAnsi="Times New Roman" w:cs="Times New Roman"/>
          <w:b/>
          <w:sz w:val="24"/>
          <w:szCs w:val="24"/>
        </w:rPr>
        <w:t>некредитные</w:t>
      </w:r>
      <w:proofErr w:type="spellEnd"/>
      <w:r w:rsidR="008D7BEE" w:rsidRPr="008D7BEE">
        <w:rPr>
          <w:rFonts w:ascii="Times New Roman" w:hAnsi="Times New Roman" w:cs="Times New Roman"/>
          <w:b/>
          <w:sz w:val="24"/>
          <w:szCs w:val="24"/>
        </w:rPr>
        <w:t xml:space="preserve"> финансовые организации</w:t>
      </w:r>
      <w:r w:rsidRPr="00680B0B">
        <w:rPr>
          <w:rFonts w:ascii="Times New Roman" w:hAnsi="Times New Roman" w:cs="Times New Roman"/>
          <w:sz w:val="24"/>
          <w:szCs w:val="24"/>
        </w:rPr>
        <w:t>»</w:t>
      </w:r>
      <w:r w:rsidR="009F47E2" w:rsidRPr="00680B0B">
        <w:rPr>
          <w:rFonts w:ascii="Times New Roman" w:hAnsi="Times New Roman" w:cs="Times New Roman"/>
          <w:bCs/>
          <w:i/>
          <w:iCs/>
          <w:sz w:val="24"/>
          <w:szCs w:val="24"/>
        </w:rPr>
        <w:t xml:space="preserve"> </w:t>
      </w:r>
      <w:r w:rsidR="009F47E2" w:rsidRPr="00680B0B">
        <w:rPr>
          <w:rFonts w:ascii="Times New Roman" w:hAnsi="Times New Roman" w:cs="Times New Roman"/>
          <w:sz w:val="24"/>
          <w:szCs w:val="24"/>
        </w:rPr>
        <w:t xml:space="preserve">в период с </w:t>
      </w:r>
      <w:r w:rsidR="00664FD7">
        <w:rPr>
          <w:rFonts w:ascii="Times New Roman" w:hAnsi="Times New Roman" w:cs="Times New Roman"/>
          <w:sz w:val="24"/>
          <w:szCs w:val="24"/>
        </w:rPr>
        <w:t>27</w:t>
      </w:r>
      <w:r w:rsidR="009F47E2" w:rsidRPr="00680B0B">
        <w:rPr>
          <w:rFonts w:ascii="Times New Roman" w:hAnsi="Times New Roman" w:cs="Times New Roman"/>
          <w:sz w:val="24"/>
          <w:szCs w:val="24"/>
        </w:rPr>
        <w:t xml:space="preserve"> ноября по </w:t>
      </w:r>
      <w:r w:rsidR="00664FD7">
        <w:rPr>
          <w:rFonts w:ascii="Times New Roman" w:hAnsi="Times New Roman" w:cs="Times New Roman"/>
          <w:sz w:val="24"/>
          <w:szCs w:val="24"/>
        </w:rPr>
        <w:t>01</w:t>
      </w:r>
      <w:r w:rsidR="009F47E2" w:rsidRPr="00680B0B">
        <w:rPr>
          <w:rFonts w:ascii="Times New Roman" w:hAnsi="Times New Roman" w:cs="Times New Roman"/>
          <w:sz w:val="24"/>
          <w:szCs w:val="24"/>
        </w:rPr>
        <w:t xml:space="preserve"> </w:t>
      </w:r>
      <w:r w:rsidR="00664FD7">
        <w:rPr>
          <w:rFonts w:ascii="Times New Roman" w:hAnsi="Times New Roman" w:cs="Times New Roman"/>
          <w:sz w:val="24"/>
          <w:szCs w:val="24"/>
        </w:rPr>
        <w:t>декабря</w:t>
      </w:r>
      <w:r w:rsidR="009F47E2" w:rsidRPr="00680B0B">
        <w:rPr>
          <w:rFonts w:ascii="Times New Roman" w:hAnsi="Times New Roman" w:cs="Times New Roman"/>
          <w:sz w:val="24"/>
          <w:szCs w:val="24"/>
        </w:rPr>
        <w:t xml:space="preserve"> 2023 года (онлайн-формат, с 1</w:t>
      </w:r>
      <w:r w:rsidR="008D7BEE">
        <w:rPr>
          <w:rFonts w:ascii="Times New Roman" w:hAnsi="Times New Roman" w:cs="Times New Roman"/>
          <w:sz w:val="24"/>
          <w:szCs w:val="24"/>
        </w:rPr>
        <w:t>8</w:t>
      </w:r>
      <w:r w:rsidR="009F47E2" w:rsidRPr="00680B0B">
        <w:rPr>
          <w:rFonts w:ascii="Times New Roman" w:hAnsi="Times New Roman" w:cs="Times New Roman"/>
          <w:sz w:val="24"/>
          <w:szCs w:val="24"/>
        </w:rPr>
        <w:t xml:space="preserve">.00 до </w:t>
      </w:r>
      <w:r w:rsidR="008D7BEE">
        <w:rPr>
          <w:rFonts w:ascii="Times New Roman" w:hAnsi="Times New Roman" w:cs="Times New Roman"/>
          <w:sz w:val="24"/>
          <w:szCs w:val="24"/>
        </w:rPr>
        <w:t>21</w:t>
      </w:r>
      <w:r w:rsidR="009F47E2" w:rsidRPr="00680B0B">
        <w:rPr>
          <w:rFonts w:ascii="Times New Roman" w:hAnsi="Times New Roman" w:cs="Times New Roman"/>
          <w:sz w:val="24"/>
          <w:szCs w:val="24"/>
        </w:rPr>
        <w:t xml:space="preserve">.00 </w:t>
      </w:r>
      <w:proofErr w:type="spellStart"/>
      <w:r w:rsidR="009F47E2" w:rsidRPr="00680B0B">
        <w:rPr>
          <w:rFonts w:ascii="Times New Roman" w:hAnsi="Times New Roman" w:cs="Times New Roman"/>
          <w:sz w:val="24"/>
          <w:szCs w:val="24"/>
        </w:rPr>
        <w:t>мск</w:t>
      </w:r>
      <w:proofErr w:type="spellEnd"/>
      <w:r w:rsidR="009F47E2" w:rsidRPr="00680B0B">
        <w:rPr>
          <w:rFonts w:ascii="Times New Roman" w:hAnsi="Times New Roman" w:cs="Times New Roman"/>
          <w:sz w:val="24"/>
          <w:szCs w:val="24"/>
        </w:rPr>
        <w:t>)</w:t>
      </w:r>
    </w:p>
    <w:p w:rsidR="00823537" w:rsidRPr="00793579" w:rsidRDefault="00680B0B" w:rsidP="00823537">
      <w:pPr>
        <w:ind w:firstLine="567"/>
        <w:rPr>
          <w:color w:val="000000"/>
        </w:rPr>
      </w:pPr>
      <w:r w:rsidRPr="005B10E0">
        <w:rPr>
          <w:rFonts w:ascii="Times New Roman" w:hAnsi="Times New Roman" w:cs="Times New Roman"/>
          <w:b/>
          <w:sz w:val="24"/>
          <w:szCs w:val="24"/>
        </w:rPr>
        <w:t>Цель обучения</w:t>
      </w:r>
      <w:r w:rsidRPr="00680B0B">
        <w:rPr>
          <w:color w:val="000000" w:themeColor="text1"/>
        </w:rPr>
        <w:t xml:space="preserve"> </w:t>
      </w:r>
      <w:r w:rsidRPr="00680B0B">
        <w:rPr>
          <w:rFonts w:ascii="Times New Roman" w:hAnsi="Times New Roman" w:cs="Times New Roman"/>
          <w:color w:val="000000" w:themeColor="text1"/>
          <w:sz w:val="24"/>
          <w:szCs w:val="24"/>
        </w:rPr>
        <w:t xml:space="preserve">углубление знаний </w:t>
      </w:r>
      <w:r>
        <w:rPr>
          <w:rFonts w:ascii="Times New Roman" w:hAnsi="Times New Roman" w:cs="Times New Roman"/>
          <w:sz w:val="24"/>
          <w:szCs w:val="24"/>
        </w:rPr>
        <w:t>у слушателей</w:t>
      </w:r>
      <w:r w:rsidR="00823537" w:rsidRPr="00823537">
        <w:rPr>
          <w:rFonts w:ascii="Times New Roman" w:hAnsi="Times New Roman" w:cs="Times New Roman"/>
          <w:color w:val="000000"/>
          <w:sz w:val="24"/>
          <w:szCs w:val="24"/>
        </w:rPr>
        <w:t xml:space="preserve"> </w:t>
      </w:r>
      <w:r w:rsidR="00823537" w:rsidRPr="00680B0B">
        <w:rPr>
          <w:rFonts w:ascii="Times New Roman" w:hAnsi="Times New Roman" w:cs="Times New Roman"/>
          <w:color w:val="000000"/>
          <w:sz w:val="24"/>
          <w:szCs w:val="24"/>
        </w:rPr>
        <w:t xml:space="preserve">в </w:t>
      </w:r>
      <w:r w:rsidR="00664FD7" w:rsidRPr="00664FD7">
        <w:rPr>
          <w:rFonts w:ascii="Times New Roman" w:hAnsi="Times New Roman" w:cs="Times New Roman"/>
          <w:color w:val="000000"/>
          <w:sz w:val="24"/>
          <w:szCs w:val="24"/>
        </w:rPr>
        <w:t xml:space="preserve">части </w:t>
      </w:r>
      <w:proofErr w:type="spellStart"/>
      <w:r w:rsidR="008D7BEE" w:rsidRPr="008D7BEE">
        <w:rPr>
          <w:rFonts w:ascii="Times New Roman" w:hAnsi="Times New Roman" w:cs="Times New Roman"/>
          <w:color w:val="000000"/>
          <w:sz w:val="24"/>
          <w:szCs w:val="24"/>
        </w:rPr>
        <w:t>части</w:t>
      </w:r>
      <w:proofErr w:type="spellEnd"/>
      <w:r w:rsidR="008D7BEE" w:rsidRPr="008D7BEE">
        <w:rPr>
          <w:rFonts w:ascii="Times New Roman" w:hAnsi="Times New Roman" w:cs="Times New Roman"/>
          <w:color w:val="000000"/>
          <w:sz w:val="24"/>
          <w:szCs w:val="24"/>
        </w:rPr>
        <w:t xml:space="preserve"> законодательства, особенностей деятельности </w:t>
      </w:r>
      <w:proofErr w:type="spellStart"/>
      <w:r w:rsidR="008D7BEE" w:rsidRPr="008D7BEE">
        <w:rPr>
          <w:rFonts w:ascii="Times New Roman" w:hAnsi="Times New Roman" w:cs="Times New Roman"/>
          <w:color w:val="000000"/>
          <w:sz w:val="24"/>
          <w:szCs w:val="24"/>
        </w:rPr>
        <w:t>некредитных</w:t>
      </w:r>
      <w:proofErr w:type="spellEnd"/>
      <w:r w:rsidR="008D7BEE" w:rsidRPr="008D7BEE">
        <w:rPr>
          <w:rFonts w:ascii="Times New Roman" w:hAnsi="Times New Roman" w:cs="Times New Roman"/>
          <w:color w:val="000000"/>
          <w:sz w:val="24"/>
          <w:szCs w:val="24"/>
        </w:rPr>
        <w:t xml:space="preserve"> финансовых организаций (НФО), организации бухгалтерского учета</w:t>
      </w:r>
      <w:r w:rsidR="00823537" w:rsidRPr="00680B0B">
        <w:rPr>
          <w:rFonts w:ascii="Times New Roman" w:hAnsi="Times New Roman" w:cs="Times New Roman"/>
          <w:color w:val="000000" w:themeColor="text1"/>
          <w:sz w:val="24"/>
          <w:szCs w:val="24"/>
        </w:rPr>
        <w:t>.</w:t>
      </w:r>
      <w:r w:rsidR="00823537" w:rsidRPr="00793579">
        <w:rPr>
          <w:color w:val="000000"/>
        </w:rPr>
        <w:t xml:space="preserve"> </w:t>
      </w:r>
    </w:p>
    <w:p w:rsidR="00823537" w:rsidRPr="00823537" w:rsidRDefault="00823537" w:rsidP="00823537">
      <w:pPr>
        <w:ind w:firstLine="567"/>
        <w:rPr>
          <w:rFonts w:ascii="Times New Roman" w:hAnsi="Times New Roman" w:cs="Times New Roman"/>
          <w:color w:val="000000" w:themeColor="text1"/>
          <w:sz w:val="24"/>
          <w:szCs w:val="24"/>
        </w:rPr>
      </w:pPr>
      <w:r w:rsidRPr="00823537">
        <w:rPr>
          <w:rFonts w:ascii="Times New Roman" w:hAnsi="Times New Roman" w:cs="Times New Roman"/>
          <w:b/>
          <w:sz w:val="24"/>
          <w:szCs w:val="24"/>
        </w:rPr>
        <w:t>Результат обучения:</w:t>
      </w:r>
      <w:r>
        <w:rPr>
          <w:rFonts w:ascii="Times New Roman" w:hAnsi="Times New Roman" w:cs="Times New Roman"/>
          <w:color w:val="000000" w:themeColor="text1"/>
          <w:sz w:val="24"/>
          <w:szCs w:val="24"/>
        </w:rPr>
        <w:t xml:space="preserve"> </w:t>
      </w:r>
      <w:r w:rsidR="008D7BEE" w:rsidRPr="008D7BEE">
        <w:rPr>
          <w:rFonts w:ascii="Times New Roman" w:hAnsi="Times New Roman" w:cs="Times New Roman"/>
          <w:color w:val="000000" w:themeColor="text1"/>
          <w:sz w:val="24"/>
          <w:szCs w:val="24"/>
        </w:rPr>
        <w:t xml:space="preserve">Глубокое понимание отраслевых стандартов бухгалтерского учета и правил составления бухгалтерской (финансовой) отчетности </w:t>
      </w:r>
      <w:proofErr w:type="spellStart"/>
      <w:r w:rsidR="008D7BEE" w:rsidRPr="008D7BEE">
        <w:rPr>
          <w:rFonts w:ascii="Times New Roman" w:hAnsi="Times New Roman" w:cs="Times New Roman"/>
          <w:color w:val="000000" w:themeColor="text1"/>
          <w:sz w:val="24"/>
          <w:szCs w:val="24"/>
        </w:rPr>
        <w:t>некредитных</w:t>
      </w:r>
      <w:proofErr w:type="spellEnd"/>
      <w:r w:rsidR="008D7BEE" w:rsidRPr="008D7BEE">
        <w:rPr>
          <w:rFonts w:ascii="Times New Roman" w:hAnsi="Times New Roman" w:cs="Times New Roman"/>
          <w:color w:val="000000" w:themeColor="text1"/>
          <w:sz w:val="24"/>
          <w:szCs w:val="24"/>
        </w:rPr>
        <w:t xml:space="preserve"> финансовых организаций, необходимое для проведения аудита</w:t>
      </w:r>
      <w:r w:rsidRPr="00823537">
        <w:rPr>
          <w:rFonts w:ascii="Times New Roman" w:hAnsi="Times New Roman" w:cs="Times New Roman"/>
          <w:color w:val="000000" w:themeColor="text1"/>
          <w:sz w:val="24"/>
          <w:szCs w:val="24"/>
        </w:rPr>
        <w:t>.</w:t>
      </w:r>
    </w:p>
    <w:p w:rsidR="00680B0B" w:rsidRDefault="00823537" w:rsidP="00680B0B">
      <w:pPr>
        <w:ind w:firstLine="567"/>
        <w:rPr>
          <w:rFonts w:ascii="Times New Roman" w:hAnsi="Times New Roman" w:cs="Times New Roman"/>
          <w:color w:val="000000" w:themeColor="text1"/>
          <w:sz w:val="24"/>
          <w:szCs w:val="24"/>
        </w:rPr>
      </w:pPr>
      <w:r w:rsidRPr="00823537">
        <w:rPr>
          <w:rFonts w:ascii="Times New Roman" w:hAnsi="Times New Roman" w:cs="Times New Roman"/>
          <w:b/>
          <w:sz w:val="24"/>
          <w:szCs w:val="24"/>
        </w:rPr>
        <w:t>Курс рассчитан</w:t>
      </w:r>
      <w:r w:rsidR="00475437">
        <w:rPr>
          <w:rFonts w:ascii="Times New Roman" w:hAnsi="Times New Roman" w:cs="Times New Roman"/>
          <w:b/>
          <w:sz w:val="24"/>
          <w:szCs w:val="24"/>
        </w:rPr>
        <w:t xml:space="preserve"> </w:t>
      </w:r>
      <w:r w:rsidR="00475437" w:rsidRPr="00DB7C34">
        <w:rPr>
          <w:rFonts w:ascii="Times New Roman" w:hAnsi="Times New Roman" w:cs="Times New Roman"/>
          <w:b/>
          <w:sz w:val="24"/>
          <w:szCs w:val="24"/>
        </w:rPr>
        <w:t>на</w:t>
      </w:r>
      <w:r w:rsidR="00DB7C34" w:rsidRPr="00DB7C34">
        <w:rPr>
          <w:rFonts w:ascii="Times New Roman" w:hAnsi="Times New Roman" w:cs="Times New Roman"/>
          <w:color w:val="000000" w:themeColor="text1"/>
          <w:sz w:val="24"/>
          <w:szCs w:val="24"/>
        </w:rPr>
        <w:t xml:space="preserve"> </w:t>
      </w:r>
      <w:r w:rsidR="00DB7C34" w:rsidRPr="00823537">
        <w:rPr>
          <w:rFonts w:ascii="Times New Roman" w:hAnsi="Times New Roman" w:cs="Times New Roman"/>
          <w:color w:val="000000" w:themeColor="text1"/>
          <w:sz w:val="24"/>
          <w:szCs w:val="24"/>
        </w:rPr>
        <w:t xml:space="preserve">главных бухгалтеров и сотрудников бухгалтерских, финансовых служб </w:t>
      </w:r>
      <w:r w:rsidR="00DB7C34">
        <w:rPr>
          <w:rFonts w:ascii="Times New Roman" w:hAnsi="Times New Roman" w:cs="Times New Roman"/>
          <w:color w:val="000000" w:themeColor="text1"/>
          <w:sz w:val="24"/>
          <w:szCs w:val="24"/>
        </w:rPr>
        <w:t xml:space="preserve">НФО, </w:t>
      </w:r>
      <w:r w:rsidR="00475437" w:rsidRPr="00DB7C34">
        <w:rPr>
          <w:rFonts w:ascii="Times New Roman" w:hAnsi="Times New Roman" w:cs="Times New Roman"/>
          <w:color w:val="000000" w:themeColor="text1"/>
          <w:sz w:val="24"/>
          <w:szCs w:val="24"/>
        </w:rPr>
        <w:t>аудиторов и руководителей аудита общественно значимых организаций,</w:t>
      </w:r>
      <w:r>
        <w:rPr>
          <w:rFonts w:ascii="Times New Roman" w:hAnsi="Times New Roman" w:cs="Times New Roman"/>
          <w:color w:val="000000" w:themeColor="text1"/>
          <w:sz w:val="24"/>
          <w:szCs w:val="24"/>
        </w:rPr>
        <w:t xml:space="preserve"> </w:t>
      </w:r>
      <w:r w:rsidR="00DB7C34">
        <w:rPr>
          <w:rFonts w:ascii="Times New Roman" w:hAnsi="Times New Roman" w:cs="Times New Roman"/>
          <w:color w:val="000000" w:themeColor="text1"/>
          <w:sz w:val="24"/>
          <w:szCs w:val="24"/>
        </w:rPr>
        <w:t xml:space="preserve">а также </w:t>
      </w:r>
      <w:r w:rsidR="00DB7C34">
        <w:rPr>
          <w:rFonts w:ascii="Times New Roman" w:hAnsi="Times New Roman" w:cs="Times New Roman"/>
          <w:lang w:eastAsia="en-US"/>
        </w:rPr>
        <w:t xml:space="preserve">других заинтересованных специалистов </w:t>
      </w:r>
      <w:proofErr w:type="spellStart"/>
      <w:r w:rsidR="00DB7C34">
        <w:rPr>
          <w:rFonts w:ascii="Times New Roman" w:hAnsi="Times New Roman" w:cs="Times New Roman"/>
          <w:lang w:eastAsia="en-US"/>
        </w:rPr>
        <w:t>н</w:t>
      </w:r>
      <w:r w:rsidR="00DB7C34" w:rsidRPr="00DB7C34">
        <w:rPr>
          <w:rFonts w:ascii="Times New Roman" w:hAnsi="Times New Roman" w:cs="Times New Roman"/>
          <w:lang w:eastAsia="en-US"/>
        </w:rPr>
        <w:t>екредитны</w:t>
      </w:r>
      <w:r w:rsidR="00DB7C34">
        <w:rPr>
          <w:rFonts w:ascii="Times New Roman" w:hAnsi="Times New Roman" w:cs="Times New Roman"/>
          <w:lang w:eastAsia="en-US"/>
        </w:rPr>
        <w:t>х</w:t>
      </w:r>
      <w:proofErr w:type="spellEnd"/>
      <w:r w:rsidR="00DB7C34" w:rsidRPr="00DB7C34">
        <w:rPr>
          <w:rFonts w:ascii="Times New Roman" w:hAnsi="Times New Roman" w:cs="Times New Roman"/>
          <w:lang w:eastAsia="en-US"/>
        </w:rPr>
        <w:t xml:space="preserve"> финансовы</w:t>
      </w:r>
      <w:r w:rsidR="00DB7C34">
        <w:rPr>
          <w:rFonts w:ascii="Times New Roman" w:hAnsi="Times New Roman" w:cs="Times New Roman"/>
          <w:lang w:eastAsia="en-US"/>
        </w:rPr>
        <w:t>х</w:t>
      </w:r>
      <w:r w:rsidR="00DB7C34" w:rsidRPr="00DB7C34">
        <w:rPr>
          <w:rFonts w:ascii="Times New Roman" w:hAnsi="Times New Roman" w:cs="Times New Roman"/>
          <w:lang w:eastAsia="en-US"/>
        </w:rPr>
        <w:t xml:space="preserve"> организаци</w:t>
      </w:r>
      <w:r w:rsidR="00DB7C34">
        <w:rPr>
          <w:rFonts w:ascii="Times New Roman" w:hAnsi="Times New Roman" w:cs="Times New Roman"/>
          <w:lang w:eastAsia="en-US"/>
        </w:rPr>
        <w:t>й.</w:t>
      </w:r>
    </w:p>
    <w:p w:rsidR="00AE21A0" w:rsidRPr="00680B0B" w:rsidRDefault="00AE21A0" w:rsidP="00680B0B">
      <w:pPr>
        <w:ind w:firstLine="567"/>
        <w:rPr>
          <w:rFonts w:ascii="Times New Roman" w:hAnsi="Times New Roman" w:cs="Times New Roman"/>
          <w:i/>
          <w:sz w:val="24"/>
          <w:szCs w:val="24"/>
        </w:rPr>
      </w:pPr>
    </w:p>
    <w:p w:rsidR="00315E54" w:rsidRPr="00680B0B" w:rsidRDefault="00315E54" w:rsidP="008E0264">
      <w:pPr>
        <w:tabs>
          <w:tab w:val="left" w:pos="10206"/>
        </w:tabs>
        <w:jc w:val="center"/>
        <w:rPr>
          <w:rFonts w:ascii="Times New Roman" w:hAnsi="Times New Roman" w:cs="Times New Roman"/>
          <w:b/>
          <w:bCs/>
          <w:sz w:val="24"/>
          <w:szCs w:val="24"/>
        </w:rPr>
      </w:pPr>
    </w:p>
    <w:p w:rsidR="00AE21A0" w:rsidRPr="00680B0B" w:rsidRDefault="00E004A9" w:rsidP="008E0264">
      <w:pPr>
        <w:tabs>
          <w:tab w:val="left" w:pos="10206"/>
        </w:tabs>
        <w:jc w:val="center"/>
        <w:rPr>
          <w:rFonts w:ascii="Times New Roman" w:hAnsi="Times New Roman" w:cs="Times New Roman"/>
          <w:b/>
          <w:bCs/>
          <w:sz w:val="24"/>
          <w:szCs w:val="24"/>
        </w:rPr>
      </w:pPr>
      <w:r w:rsidRPr="00680B0B">
        <w:rPr>
          <w:rFonts w:ascii="Times New Roman" w:hAnsi="Times New Roman" w:cs="Times New Roman"/>
          <w:b/>
          <w:bCs/>
          <w:sz w:val="24"/>
          <w:szCs w:val="24"/>
        </w:rPr>
        <w:t xml:space="preserve">ОСНОВНЫЕ ВОПРОСЫ </w:t>
      </w:r>
      <w:r w:rsidR="004C5AF2">
        <w:rPr>
          <w:rFonts w:ascii="Times New Roman" w:hAnsi="Times New Roman" w:cs="Times New Roman"/>
          <w:b/>
          <w:bCs/>
          <w:sz w:val="24"/>
          <w:szCs w:val="24"/>
        </w:rPr>
        <w:t>КУРСА</w:t>
      </w:r>
      <w:r w:rsidR="00AE21A0" w:rsidRPr="00680B0B">
        <w:rPr>
          <w:rFonts w:ascii="Times New Roman" w:hAnsi="Times New Roman" w:cs="Times New Roman"/>
          <w:b/>
          <w:bCs/>
          <w:sz w:val="24"/>
          <w:szCs w:val="24"/>
        </w:rPr>
        <w:t>:</w:t>
      </w:r>
    </w:p>
    <w:p w:rsidR="00315E54" w:rsidRPr="008D7BEE" w:rsidRDefault="00315E54" w:rsidP="008D7BEE">
      <w:pPr>
        <w:tabs>
          <w:tab w:val="left" w:pos="10206"/>
        </w:tabs>
        <w:jc w:val="center"/>
        <w:rPr>
          <w:rFonts w:ascii="Times New Roman" w:hAnsi="Times New Roman" w:cs="Times New Roman"/>
          <w:b/>
          <w:bCs/>
          <w:sz w:val="24"/>
          <w:szCs w:val="24"/>
        </w:rPr>
      </w:pPr>
    </w:p>
    <w:p w:rsidR="008D7BEE" w:rsidRPr="008D7BEE" w:rsidRDefault="008D7BEE" w:rsidP="008D7BEE">
      <w:pPr>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b/>
          <w:iCs/>
          <w:color w:val="000000" w:themeColor="text1"/>
          <w:sz w:val="24"/>
          <w:szCs w:val="24"/>
          <w:lang w:eastAsia="en-US"/>
        </w:rPr>
        <w:t>Тема 1</w:t>
      </w:r>
      <w:r w:rsidRPr="008D7BEE">
        <w:rPr>
          <w:rFonts w:ascii="Times New Roman" w:eastAsia="Calibri" w:hAnsi="Times New Roman" w:cs="Times New Roman"/>
          <w:b/>
          <w:color w:val="000000" w:themeColor="text1"/>
          <w:sz w:val="24"/>
          <w:szCs w:val="24"/>
          <w:lang w:eastAsia="en-US"/>
        </w:rPr>
        <w:t xml:space="preserve">. </w:t>
      </w:r>
      <w:r w:rsidRPr="008D7BEE">
        <w:rPr>
          <w:rFonts w:ascii="Times New Roman" w:eastAsia="Calibri" w:hAnsi="Times New Roman" w:cs="Times New Roman"/>
          <w:b/>
          <w:bCs/>
          <w:color w:val="000000" w:themeColor="text1"/>
          <w:sz w:val="24"/>
          <w:szCs w:val="24"/>
          <w:lang w:eastAsia="en-US"/>
        </w:rPr>
        <w:t xml:space="preserve">Система нормативного регулирования объектов бухгалтерского учета </w:t>
      </w:r>
      <w:proofErr w:type="spellStart"/>
      <w:r w:rsidRPr="008D7BEE">
        <w:rPr>
          <w:rFonts w:ascii="Times New Roman" w:eastAsia="Calibri" w:hAnsi="Times New Roman" w:cs="Times New Roman"/>
          <w:b/>
          <w:bCs/>
          <w:color w:val="000000" w:themeColor="text1"/>
          <w:sz w:val="24"/>
          <w:szCs w:val="24"/>
          <w:lang w:eastAsia="en-US"/>
        </w:rPr>
        <w:t>некредитных</w:t>
      </w:r>
      <w:proofErr w:type="spellEnd"/>
      <w:r w:rsidRPr="008D7BEE">
        <w:rPr>
          <w:rFonts w:ascii="Times New Roman" w:eastAsia="Calibri" w:hAnsi="Times New Roman" w:cs="Times New Roman"/>
          <w:b/>
          <w:bCs/>
          <w:color w:val="000000" w:themeColor="text1"/>
          <w:sz w:val="24"/>
          <w:szCs w:val="24"/>
          <w:lang w:eastAsia="en-US"/>
        </w:rPr>
        <w:t xml:space="preserve"> финансовых организаций</w:t>
      </w:r>
      <w:r w:rsidRPr="008D7BEE">
        <w:rPr>
          <w:rFonts w:ascii="Times New Roman" w:eastAsia="Calibri" w:hAnsi="Times New Roman" w:cs="Times New Roman"/>
          <w:color w:val="000000" w:themeColor="text1"/>
          <w:sz w:val="24"/>
          <w:szCs w:val="24"/>
          <w:lang w:eastAsia="en-US"/>
        </w:rPr>
        <w:t xml:space="preserve"> </w:t>
      </w:r>
    </w:p>
    <w:p w:rsidR="008D7BEE" w:rsidRPr="008D7BEE" w:rsidRDefault="008D7BEE" w:rsidP="008D7BEE">
      <w:pPr>
        <w:numPr>
          <w:ilvl w:val="0"/>
          <w:numId w:val="20"/>
        </w:numPr>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Полномочия Банка России по регулированию, контролю и надзору в сфере финансовых рынков.  Унификация требований Банка России к бухгалтерской (финансовой) отчетности участников финансового рынка. </w:t>
      </w:r>
    </w:p>
    <w:p w:rsidR="008D7BEE" w:rsidRPr="008D7BEE" w:rsidRDefault="008D7BEE" w:rsidP="008D7BEE">
      <w:pPr>
        <w:numPr>
          <w:ilvl w:val="0"/>
          <w:numId w:val="20"/>
        </w:numPr>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Единый план счетов бухгалтерского учета для </w:t>
      </w:r>
      <w:proofErr w:type="spellStart"/>
      <w:r w:rsidRPr="008D7BEE">
        <w:rPr>
          <w:rFonts w:ascii="Times New Roman" w:eastAsia="Tahoma" w:hAnsi="Times New Roman" w:cs="Times New Roman"/>
          <w:color w:val="000000" w:themeColor="text1"/>
          <w:sz w:val="24"/>
          <w:szCs w:val="24"/>
          <w:lang w:eastAsia="en-US"/>
        </w:rPr>
        <w:t>некредитных</w:t>
      </w:r>
      <w:proofErr w:type="spellEnd"/>
      <w:r w:rsidRPr="008D7BEE">
        <w:rPr>
          <w:rFonts w:ascii="Times New Roman" w:eastAsia="Tahoma" w:hAnsi="Times New Roman" w:cs="Times New Roman"/>
          <w:color w:val="000000" w:themeColor="text1"/>
          <w:sz w:val="24"/>
          <w:szCs w:val="24"/>
          <w:lang w:eastAsia="en-US"/>
        </w:rPr>
        <w:t xml:space="preserve"> финансовых организаций.</w:t>
      </w:r>
    </w:p>
    <w:p w:rsidR="008D7BEE" w:rsidRPr="008D7BEE" w:rsidRDefault="008D7BEE" w:rsidP="008D7BEE">
      <w:pPr>
        <w:numPr>
          <w:ilvl w:val="0"/>
          <w:numId w:val="20"/>
        </w:numPr>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Отраслевые стандарты бухгалтерского учета в НФО. МСФО как методологическая основа для разработки отраслевых стандартов бухгалтерского учета </w:t>
      </w:r>
      <w:proofErr w:type="spellStart"/>
      <w:r w:rsidRPr="008D7BEE">
        <w:rPr>
          <w:rFonts w:ascii="Times New Roman" w:eastAsia="Tahoma" w:hAnsi="Times New Roman" w:cs="Times New Roman"/>
          <w:color w:val="000000" w:themeColor="text1"/>
          <w:sz w:val="24"/>
          <w:szCs w:val="24"/>
          <w:lang w:eastAsia="en-US"/>
        </w:rPr>
        <w:t>некредитных</w:t>
      </w:r>
      <w:proofErr w:type="spellEnd"/>
      <w:r w:rsidRPr="008D7BEE">
        <w:rPr>
          <w:rFonts w:ascii="Times New Roman" w:eastAsia="Tahoma" w:hAnsi="Times New Roman" w:cs="Times New Roman"/>
          <w:color w:val="000000" w:themeColor="text1"/>
          <w:sz w:val="24"/>
          <w:szCs w:val="24"/>
          <w:lang w:eastAsia="en-US"/>
        </w:rPr>
        <w:t xml:space="preserve"> финансовых организаций.</w:t>
      </w:r>
    </w:p>
    <w:p w:rsidR="008D7BEE" w:rsidRPr="008D7BEE" w:rsidRDefault="008D7BEE" w:rsidP="008D7BEE">
      <w:pPr>
        <w:rPr>
          <w:rFonts w:ascii="Times New Roman" w:eastAsia="Calibri" w:hAnsi="Times New Roman" w:cs="Times New Roman"/>
          <w:b/>
          <w:bCs/>
          <w:color w:val="000000" w:themeColor="text1"/>
          <w:sz w:val="24"/>
          <w:szCs w:val="24"/>
          <w:lang w:eastAsia="en-US"/>
        </w:rPr>
      </w:pPr>
      <w:r w:rsidRPr="008D7BEE">
        <w:rPr>
          <w:rFonts w:ascii="Times New Roman" w:eastAsia="Calibri" w:hAnsi="Times New Roman" w:cs="Times New Roman"/>
          <w:b/>
          <w:bCs/>
          <w:iCs/>
          <w:color w:val="000000" w:themeColor="text1"/>
          <w:sz w:val="24"/>
          <w:szCs w:val="24"/>
          <w:lang w:eastAsia="en-US"/>
        </w:rPr>
        <w:t>Тема 2</w:t>
      </w:r>
      <w:r w:rsidRPr="008D7BEE">
        <w:rPr>
          <w:rFonts w:ascii="Times New Roman" w:eastAsia="Calibri" w:hAnsi="Times New Roman" w:cs="Times New Roman"/>
          <w:b/>
          <w:bCs/>
          <w:i/>
          <w:iCs/>
          <w:color w:val="000000" w:themeColor="text1"/>
          <w:sz w:val="24"/>
          <w:szCs w:val="24"/>
          <w:lang w:eastAsia="en-US"/>
        </w:rPr>
        <w:t>.</w:t>
      </w:r>
      <w:r w:rsidRPr="008D7BEE">
        <w:rPr>
          <w:rFonts w:ascii="Times New Roman" w:eastAsia="Calibri" w:hAnsi="Times New Roman" w:cs="Times New Roman"/>
          <w:b/>
          <w:bCs/>
          <w:color w:val="000000" w:themeColor="text1"/>
          <w:sz w:val="24"/>
          <w:szCs w:val="24"/>
          <w:lang w:eastAsia="en-US"/>
        </w:rPr>
        <w:t xml:space="preserve"> Единый план счетов бухгалтерского учета в НФО и порядок его применения</w:t>
      </w:r>
    </w:p>
    <w:p w:rsidR="008D7BEE" w:rsidRPr="008D7BEE" w:rsidRDefault="008D7BEE" w:rsidP="008D7BEE">
      <w:pPr>
        <w:pStyle w:val="af1"/>
        <w:numPr>
          <w:ilvl w:val="3"/>
          <w:numId w:val="25"/>
        </w:numPr>
        <w:ind w:left="284" w:hanging="284"/>
        <w:contextualSpacing/>
        <w:rPr>
          <w:rFonts w:ascii="Times New Roman" w:eastAsia="Tahoma" w:hAnsi="Times New Roman" w:cs="Times New Roman"/>
          <w:color w:val="000000" w:themeColor="text1"/>
          <w:sz w:val="24"/>
          <w:szCs w:val="24"/>
        </w:rPr>
      </w:pPr>
      <w:r w:rsidRPr="008D7BEE">
        <w:rPr>
          <w:rFonts w:ascii="Times New Roman" w:eastAsia="Tahoma" w:hAnsi="Times New Roman" w:cs="Times New Roman"/>
          <w:color w:val="000000" w:themeColor="text1"/>
          <w:sz w:val="24"/>
          <w:szCs w:val="24"/>
        </w:rPr>
        <w:t>Структура плана счетов для НФО.</w:t>
      </w:r>
    </w:p>
    <w:p w:rsidR="008D7BEE" w:rsidRDefault="008D7BEE" w:rsidP="008D7BEE">
      <w:pPr>
        <w:pStyle w:val="af1"/>
        <w:numPr>
          <w:ilvl w:val="3"/>
          <w:numId w:val="25"/>
        </w:numPr>
        <w:ind w:left="284" w:hanging="284"/>
        <w:contextualSpacing/>
        <w:rPr>
          <w:rFonts w:ascii="Times New Roman" w:eastAsia="Tahoma" w:hAnsi="Times New Roman" w:cs="Times New Roman"/>
          <w:color w:val="000000" w:themeColor="text1"/>
          <w:sz w:val="24"/>
          <w:szCs w:val="24"/>
        </w:rPr>
      </w:pPr>
      <w:r w:rsidRPr="008D7BEE">
        <w:rPr>
          <w:rFonts w:ascii="Times New Roman" w:eastAsia="Tahoma" w:hAnsi="Times New Roman" w:cs="Times New Roman"/>
          <w:color w:val="000000" w:themeColor="text1"/>
          <w:sz w:val="24"/>
          <w:szCs w:val="24"/>
        </w:rPr>
        <w:t>Организация синтетического и аналитического учета.</w:t>
      </w:r>
    </w:p>
    <w:p w:rsidR="008D7BEE" w:rsidRDefault="008D7BEE" w:rsidP="008D7BEE">
      <w:pPr>
        <w:pStyle w:val="af1"/>
        <w:numPr>
          <w:ilvl w:val="3"/>
          <w:numId w:val="25"/>
        </w:numPr>
        <w:ind w:left="284" w:hanging="284"/>
        <w:contextualSpacing/>
        <w:rPr>
          <w:rFonts w:ascii="Times New Roman" w:eastAsia="Tahoma" w:hAnsi="Times New Roman" w:cs="Times New Roman"/>
          <w:color w:val="000000" w:themeColor="text1"/>
          <w:sz w:val="24"/>
          <w:szCs w:val="24"/>
        </w:rPr>
      </w:pPr>
      <w:r w:rsidRPr="008D7BEE">
        <w:rPr>
          <w:rFonts w:ascii="Times New Roman" w:eastAsia="Tahoma" w:hAnsi="Times New Roman" w:cs="Times New Roman"/>
          <w:color w:val="000000" w:themeColor="text1"/>
          <w:sz w:val="24"/>
          <w:szCs w:val="24"/>
        </w:rPr>
        <w:t>Парные счета и принцип их закрытия.</w:t>
      </w:r>
    </w:p>
    <w:p w:rsidR="008D7BEE" w:rsidRPr="008D7BEE" w:rsidRDefault="008D7BEE" w:rsidP="008D7BEE">
      <w:pPr>
        <w:pStyle w:val="af1"/>
        <w:numPr>
          <w:ilvl w:val="3"/>
          <w:numId w:val="25"/>
        </w:numPr>
        <w:ind w:left="284" w:hanging="284"/>
        <w:contextualSpacing/>
        <w:rPr>
          <w:rFonts w:ascii="Times New Roman" w:eastAsia="Tahoma" w:hAnsi="Times New Roman" w:cs="Times New Roman"/>
          <w:color w:val="000000" w:themeColor="text1"/>
          <w:sz w:val="24"/>
          <w:szCs w:val="24"/>
        </w:rPr>
      </w:pPr>
      <w:r w:rsidRPr="008D7BEE">
        <w:rPr>
          <w:rFonts w:ascii="Times New Roman" w:eastAsia="Tahoma" w:hAnsi="Times New Roman" w:cs="Times New Roman"/>
          <w:color w:val="000000" w:themeColor="text1"/>
          <w:sz w:val="24"/>
          <w:szCs w:val="24"/>
        </w:rPr>
        <w:t>Порядок учета доходов и расходов.</w:t>
      </w:r>
    </w:p>
    <w:p w:rsidR="008D7BEE" w:rsidRPr="008D7BEE" w:rsidRDefault="008D7BEE" w:rsidP="008D7BEE">
      <w:pPr>
        <w:rPr>
          <w:rFonts w:ascii="Times New Roman" w:eastAsia="Calibri" w:hAnsi="Times New Roman" w:cs="Times New Roman"/>
          <w:b/>
          <w:bCs/>
          <w:color w:val="000000" w:themeColor="text1"/>
          <w:sz w:val="24"/>
          <w:szCs w:val="24"/>
          <w:lang w:eastAsia="en-US"/>
        </w:rPr>
      </w:pPr>
      <w:r w:rsidRPr="008D7BEE">
        <w:rPr>
          <w:rFonts w:ascii="Times New Roman" w:eastAsia="Calibri" w:hAnsi="Times New Roman" w:cs="Times New Roman"/>
          <w:b/>
          <w:bCs/>
          <w:iCs/>
          <w:color w:val="000000" w:themeColor="text1"/>
          <w:sz w:val="24"/>
          <w:szCs w:val="24"/>
          <w:lang w:eastAsia="en-US"/>
        </w:rPr>
        <w:t>Тема 3.</w:t>
      </w:r>
      <w:r w:rsidRPr="008D7BEE">
        <w:rPr>
          <w:rFonts w:ascii="Times New Roman" w:eastAsia="Calibri" w:hAnsi="Times New Roman" w:cs="Times New Roman"/>
          <w:b/>
          <w:bCs/>
          <w:i/>
          <w:iCs/>
          <w:color w:val="000000" w:themeColor="text1"/>
          <w:sz w:val="24"/>
          <w:szCs w:val="24"/>
          <w:lang w:eastAsia="en-US"/>
        </w:rPr>
        <w:t xml:space="preserve"> </w:t>
      </w:r>
      <w:r w:rsidRPr="008D7BEE">
        <w:rPr>
          <w:rFonts w:ascii="Times New Roman" w:eastAsia="Calibri" w:hAnsi="Times New Roman" w:cs="Times New Roman"/>
          <w:b/>
          <w:bCs/>
          <w:color w:val="000000" w:themeColor="text1"/>
          <w:sz w:val="24"/>
          <w:szCs w:val="24"/>
          <w:lang w:eastAsia="en-US"/>
        </w:rPr>
        <w:t xml:space="preserve">Порядок бухгалтерского учета операций с ценными бумагами и производными финансовыми инструментами в </w:t>
      </w:r>
      <w:proofErr w:type="spellStart"/>
      <w:r w:rsidRPr="008D7BEE">
        <w:rPr>
          <w:rFonts w:ascii="Times New Roman" w:eastAsia="Calibri" w:hAnsi="Times New Roman" w:cs="Times New Roman"/>
          <w:b/>
          <w:bCs/>
          <w:color w:val="000000" w:themeColor="text1"/>
          <w:sz w:val="24"/>
          <w:szCs w:val="24"/>
          <w:lang w:eastAsia="en-US"/>
        </w:rPr>
        <w:t>некредитных</w:t>
      </w:r>
      <w:proofErr w:type="spellEnd"/>
      <w:r w:rsidRPr="008D7BEE">
        <w:rPr>
          <w:rFonts w:ascii="Times New Roman" w:eastAsia="Calibri" w:hAnsi="Times New Roman" w:cs="Times New Roman"/>
          <w:b/>
          <w:bCs/>
          <w:color w:val="000000" w:themeColor="text1"/>
          <w:sz w:val="24"/>
          <w:szCs w:val="24"/>
          <w:lang w:eastAsia="en-US"/>
        </w:rPr>
        <w:t xml:space="preserve"> финансовых организациях в соответствии с отраслевыми стандартами бухгалтерского учета</w:t>
      </w:r>
    </w:p>
    <w:p w:rsidR="008D7BEE" w:rsidRPr="008D7BEE" w:rsidRDefault="008D7BEE" w:rsidP="008D7BEE">
      <w:pPr>
        <w:numPr>
          <w:ilvl w:val="0"/>
          <w:numId w:val="21"/>
        </w:numPr>
        <w:tabs>
          <w:tab w:val="left" w:pos="284"/>
          <w:tab w:val="left" w:pos="1350"/>
        </w:tabs>
        <w:ind w:left="0" w:firstLine="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Основные нормативные документы</w:t>
      </w:r>
    </w:p>
    <w:p w:rsidR="008D7BEE" w:rsidRPr="008D7BEE" w:rsidRDefault="008D7BEE" w:rsidP="008D7BEE">
      <w:pPr>
        <w:numPr>
          <w:ilvl w:val="0"/>
          <w:numId w:val="21"/>
        </w:numPr>
        <w:tabs>
          <w:tab w:val="left" w:pos="284"/>
          <w:tab w:val="left" w:pos="1350"/>
        </w:tabs>
        <w:ind w:left="0" w:firstLine="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Первоначальное признание ценных бумаг</w:t>
      </w:r>
    </w:p>
    <w:p w:rsidR="008D7BEE" w:rsidRPr="008D7BEE" w:rsidRDefault="008D7BEE" w:rsidP="008D7BEE">
      <w:pPr>
        <w:numPr>
          <w:ilvl w:val="0"/>
          <w:numId w:val="21"/>
        </w:numPr>
        <w:tabs>
          <w:tab w:val="left" w:pos="284"/>
          <w:tab w:val="left" w:pos="1350"/>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Бизнес-модель организации и ее влияние на классификацию финансового инструмента. Изменение бизнес-модели и ее последствия для классификации/изменения классификации финансовых инструментов, отражения изменения в бухгалтерском учете и раскрытия в отчетности.</w:t>
      </w:r>
    </w:p>
    <w:p w:rsidR="008D7BEE" w:rsidRPr="008D7BEE" w:rsidRDefault="008D7BEE" w:rsidP="008D7BEE">
      <w:pPr>
        <w:numPr>
          <w:ilvl w:val="0"/>
          <w:numId w:val="21"/>
        </w:numPr>
        <w:tabs>
          <w:tab w:val="left" w:pos="284"/>
          <w:tab w:val="left" w:pos="1350"/>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Классификация ценных бумаг для целей бухгалтерского учета. Критерии классификации ценных бумаг</w:t>
      </w:r>
    </w:p>
    <w:p w:rsidR="008D7BEE" w:rsidRPr="008D7BEE" w:rsidRDefault="008D7BEE" w:rsidP="008D7BEE">
      <w:pPr>
        <w:numPr>
          <w:ilvl w:val="0"/>
          <w:numId w:val="21"/>
        </w:numPr>
        <w:tabs>
          <w:tab w:val="left" w:pos="284"/>
          <w:tab w:val="left" w:pos="1350"/>
        </w:tabs>
        <w:ind w:left="0" w:firstLine="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Вложения в дочерние и ассоциированные компании</w:t>
      </w:r>
    </w:p>
    <w:p w:rsidR="008D7BEE" w:rsidRPr="008D7BEE" w:rsidRDefault="008D7BEE" w:rsidP="008D7BEE">
      <w:pPr>
        <w:numPr>
          <w:ilvl w:val="0"/>
          <w:numId w:val="21"/>
        </w:numPr>
        <w:tabs>
          <w:tab w:val="left" w:pos="284"/>
          <w:tab w:val="left" w:pos="1350"/>
        </w:tabs>
        <w:ind w:left="0" w:firstLine="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Амортизированная стоимость</w:t>
      </w:r>
    </w:p>
    <w:p w:rsidR="008D7BEE" w:rsidRPr="008D7BEE" w:rsidRDefault="008D7BEE" w:rsidP="008D7BEE">
      <w:pPr>
        <w:numPr>
          <w:ilvl w:val="0"/>
          <w:numId w:val="21"/>
        </w:numPr>
        <w:tabs>
          <w:tab w:val="left" w:pos="284"/>
          <w:tab w:val="left" w:pos="1350"/>
        </w:tabs>
        <w:ind w:left="0" w:firstLine="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Справедливая стоимость</w:t>
      </w:r>
    </w:p>
    <w:p w:rsidR="008D7BEE" w:rsidRPr="008D7BEE" w:rsidRDefault="008D7BEE" w:rsidP="008D7BEE">
      <w:pPr>
        <w:numPr>
          <w:ilvl w:val="0"/>
          <w:numId w:val="21"/>
        </w:numPr>
        <w:tabs>
          <w:tab w:val="left" w:pos="284"/>
          <w:tab w:val="left" w:pos="1350"/>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lastRenderedPageBreak/>
        <w:t xml:space="preserve">Иерархия справедливой стоимости в соответствии с Международным стандартом финансовой отчетности МСФО (IFRS) 13 «Оценка справедливой стоимости». Понятие активного рынка </w:t>
      </w:r>
    </w:p>
    <w:p w:rsidR="008D7BEE" w:rsidRPr="008D7BEE" w:rsidRDefault="008D7BEE" w:rsidP="008D7BEE">
      <w:pPr>
        <w:numPr>
          <w:ilvl w:val="0"/>
          <w:numId w:val="21"/>
        </w:numPr>
        <w:tabs>
          <w:tab w:val="left" w:pos="284"/>
          <w:tab w:val="left" w:pos="1350"/>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Бухгалтерский учет ценных бумаг</w:t>
      </w:r>
    </w:p>
    <w:p w:rsidR="008D7BEE" w:rsidRPr="008D7BEE" w:rsidRDefault="008D7BEE" w:rsidP="008D7BEE">
      <w:pPr>
        <w:numPr>
          <w:ilvl w:val="0"/>
          <w:numId w:val="21"/>
        </w:numPr>
        <w:tabs>
          <w:tab w:val="left" w:pos="284"/>
          <w:tab w:val="left" w:pos="426"/>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Учет сделок РЕПО</w:t>
      </w:r>
    </w:p>
    <w:p w:rsidR="008D7BEE" w:rsidRPr="008D7BEE" w:rsidRDefault="008D7BEE" w:rsidP="008D7BEE">
      <w:pPr>
        <w:numPr>
          <w:ilvl w:val="0"/>
          <w:numId w:val="21"/>
        </w:numPr>
        <w:tabs>
          <w:tab w:val="left" w:pos="284"/>
          <w:tab w:val="left" w:pos="426"/>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Договор производных финансовых инструментов (ПФИ). Виды ПФИ.</w:t>
      </w:r>
    </w:p>
    <w:p w:rsidR="008D7BEE" w:rsidRPr="008D7BEE" w:rsidRDefault="008D7BEE" w:rsidP="008D7BEE">
      <w:pPr>
        <w:numPr>
          <w:ilvl w:val="0"/>
          <w:numId w:val="21"/>
        </w:numPr>
        <w:tabs>
          <w:tab w:val="left" w:pos="284"/>
          <w:tab w:val="left" w:pos="426"/>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Общие требования к учёту ПФИ. Оценка ПФИ – требования ОСБУ и рыночная практика использования МСФО. Отражение справедливой стоимости ПФИ при первоначальном признании. Отражение в учете форвардного поставочного контракта, форвардного расчетного контракта, расчетного/поставочного опциона, фьючерса.</w:t>
      </w:r>
    </w:p>
    <w:p w:rsidR="008D7BEE" w:rsidRPr="008D7BEE" w:rsidRDefault="008D7BEE" w:rsidP="008D7BEE">
      <w:pPr>
        <w:numPr>
          <w:ilvl w:val="0"/>
          <w:numId w:val="21"/>
        </w:numPr>
        <w:tabs>
          <w:tab w:val="left" w:pos="284"/>
          <w:tab w:val="left" w:pos="426"/>
        </w:tabs>
        <w:ind w:left="284" w:hanging="284"/>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Порядок отражения на счетах бухгалтерского учета операций хеджирования.</w:t>
      </w:r>
    </w:p>
    <w:p w:rsidR="008D7BEE" w:rsidRPr="008D7BEE" w:rsidRDefault="008D7BEE" w:rsidP="008D7BEE">
      <w:pPr>
        <w:rPr>
          <w:rFonts w:ascii="Times New Roman" w:eastAsia="Calibri" w:hAnsi="Times New Roman" w:cs="Times New Roman"/>
          <w:b/>
          <w:bCs/>
          <w:color w:val="000000" w:themeColor="text1"/>
          <w:sz w:val="24"/>
          <w:szCs w:val="24"/>
          <w:lang w:eastAsia="en-US"/>
        </w:rPr>
      </w:pPr>
      <w:r w:rsidRPr="008D7BEE">
        <w:rPr>
          <w:rFonts w:ascii="Times New Roman" w:eastAsia="Calibri" w:hAnsi="Times New Roman" w:cs="Times New Roman"/>
          <w:b/>
          <w:bCs/>
          <w:iCs/>
          <w:color w:val="000000" w:themeColor="text1"/>
          <w:sz w:val="24"/>
          <w:szCs w:val="24"/>
          <w:lang w:eastAsia="en-US"/>
        </w:rPr>
        <w:t>Тема 4.</w:t>
      </w:r>
      <w:r w:rsidRPr="008D7BEE">
        <w:rPr>
          <w:rFonts w:ascii="Times New Roman" w:eastAsia="Calibri" w:hAnsi="Times New Roman" w:cs="Times New Roman"/>
          <w:b/>
          <w:bCs/>
          <w:i/>
          <w:iCs/>
          <w:color w:val="000000" w:themeColor="text1"/>
          <w:sz w:val="24"/>
          <w:szCs w:val="24"/>
          <w:lang w:eastAsia="en-US"/>
        </w:rPr>
        <w:t xml:space="preserve"> </w:t>
      </w:r>
      <w:r w:rsidRPr="008D7BEE">
        <w:rPr>
          <w:rFonts w:ascii="Times New Roman" w:eastAsia="Calibri" w:hAnsi="Times New Roman" w:cs="Times New Roman"/>
          <w:b/>
          <w:bCs/>
          <w:color w:val="000000" w:themeColor="text1"/>
          <w:sz w:val="24"/>
          <w:szCs w:val="24"/>
          <w:lang w:eastAsia="en-US"/>
        </w:rPr>
        <w:t>Учет выданных и полученных займов</w:t>
      </w:r>
      <w:r w:rsidRPr="008D7BEE">
        <w:rPr>
          <w:rFonts w:ascii="Times New Roman" w:eastAsia="Calibri" w:hAnsi="Times New Roman" w:cs="Times New Roman"/>
          <w:b/>
          <w:bCs/>
          <w:i/>
          <w:iCs/>
          <w:color w:val="000000" w:themeColor="text1"/>
          <w:sz w:val="24"/>
          <w:szCs w:val="24"/>
          <w:lang w:eastAsia="en-US"/>
        </w:rPr>
        <w:t xml:space="preserve"> </w:t>
      </w:r>
      <w:r w:rsidRPr="008D7BEE">
        <w:rPr>
          <w:rFonts w:ascii="Times New Roman" w:eastAsia="Calibri" w:hAnsi="Times New Roman" w:cs="Times New Roman"/>
          <w:b/>
          <w:bCs/>
          <w:color w:val="000000" w:themeColor="text1"/>
          <w:sz w:val="24"/>
          <w:szCs w:val="24"/>
          <w:lang w:eastAsia="en-US"/>
        </w:rPr>
        <w:t>в соответствии с отраслевыми стандартами бухгалтерского учета</w:t>
      </w:r>
    </w:p>
    <w:p w:rsidR="008D7BEE" w:rsidRPr="008D7BEE" w:rsidRDefault="008D7BEE" w:rsidP="008D7BEE">
      <w:pPr>
        <w:numPr>
          <w:ilvl w:val="0"/>
          <w:numId w:val="19"/>
        </w:numPr>
        <w:tabs>
          <w:tab w:val="num" w:pos="360"/>
          <w:tab w:val="left" w:pos="450"/>
          <w:tab w:val="left" w:pos="810"/>
        </w:tabs>
        <w:ind w:left="0" w:firstLine="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Основные нормативные документы</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Ключевые определения и принципы учета</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Эффективная ставка процента (ЭСП)</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Прибыль / убыток при первоначальном признании</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Амортизированная стоимость. Изменение (пересмотр) ЭСП</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Освобождение от применения метода ЭСП</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Обесценение финансовых активов. Резервы под обесценение размещенных средств</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Полученные займы: капитализация процентов</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Учетная политика и стандарты экономического субъекта</w:t>
      </w:r>
    </w:p>
    <w:p w:rsidR="008D7BEE" w:rsidRPr="008D7BEE" w:rsidRDefault="008D7BEE" w:rsidP="008D7BEE">
      <w:pPr>
        <w:numPr>
          <w:ilvl w:val="0"/>
          <w:numId w:val="19"/>
        </w:numPr>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Бухгалтерский учет выданных и полученных займов</w:t>
      </w:r>
    </w:p>
    <w:p w:rsidR="008D7BEE" w:rsidRPr="008D7BEE" w:rsidRDefault="008D7BEE" w:rsidP="008D7BEE">
      <w:pPr>
        <w:rPr>
          <w:rFonts w:ascii="Times New Roman" w:eastAsia="Calibri" w:hAnsi="Times New Roman" w:cs="Times New Roman"/>
          <w:b/>
          <w:bCs/>
          <w:iCs/>
          <w:color w:val="000000" w:themeColor="text1"/>
          <w:sz w:val="24"/>
          <w:szCs w:val="24"/>
          <w:lang w:eastAsia="en-US"/>
        </w:rPr>
      </w:pPr>
      <w:r w:rsidRPr="008D7BEE">
        <w:rPr>
          <w:rFonts w:ascii="Times New Roman" w:eastAsia="Calibri" w:hAnsi="Times New Roman" w:cs="Times New Roman"/>
          <w:b/>
          <w:bCs/>
          <w:iCs/>
          <w:color w:val="000000" w:themeColor="text1"/>
          <w:sz w:val="24"/>
          <w:szCs w:val="24"/>
          <w:lang w:eastAsia="en-US"/>
        </w:rPr>
        <w:t xml:space="preserve">Тема 5. Бухгалтерский учет операций, связанных с осуществлением договора доверительного управления имуществом </w:t>
      </w:r>
      <w:proofErr w:type="spellStart"/>
      <w:r w:rsidRPr="008D7BEE">
        <w:rPr>
          <w:rFonts w:ascii="Times New Roman" w:eastAsia="Calibri" w:hAnsi="Times New Roman" w:cs="Times New Roman"/>
          <w:b/>
          <w:bCs/>
          <w:iCs/>
          <w:color w:val="000000" w:themeColor="text1"/>
          <w:sz w:val="24"/>
          <w:szCs w:val="24"/>
          <w:lang w:eastAsia="en-US"/>
        </w:rPr>
        <w:t>некредитными</w:t>
      </w:r>
      <w:proofErr w:type="spellEnd"/>
      <w:r w:rsidRPr="008D7BEE">
        <w:rPr>
          <w:rFonts w:ascii="Times New Roman" w:eastAsia="Calibri" w:hAnsi="Times New Roman" w:cs="Times New Roman"/>
          <w:b/>
          <w:bCs/>
          <w:iCs/>
          <w:color w:val="000000" w:themeColor="text1"/>
          <w:sz w:val="24"/>
          <w:szCs w:val="24"/>
          <w:lang w:eastAsia="en-US"/>
        </w:rPr>
        <w:t xml:space="preserve"> финансовыми организациями в соответствии с отраслевыми стандартами бухгалтерского учета</w:t>
      </w:r>
    </w:p>
    <w:p w:rsidR="008D7BEE" w:rsidRPr="008D7BEE" w:rsidRDefault="008D7BEE" w:rsidP="008D7BEE">
      <w:pPr>
        <w:numPr>
          <w:ilvl w:val="0"/>
          <w:numId w:val="22"/>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Основные нормативные документы</w:t>
      </w:r>
    </w:p>
    <w:p w:rsidR="008D7BEE" w:rsidRPr="008D7BEE" w:rsidRDefault="008D7BEE" w:rsidP="008D7BEE">
      <w:pPr>
        <w:numPr>
          <w:ilvl w:val="0"/>
          <w:numId w:val="22"/>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Бухгалтерский учет доверительным управляющим операций с имуществом, полученным в доверительное управление </w:t>
      </w:r>
    </w:p>
    <w:p w:rsidR="008D7BEE" w:rsidRPr="008D7BEE" w:rsidRDefault="008D7BEE" w:rsidP="008D7BEE">
      <w:pPr>
        <w:numPr>
          <w:ilvl w:val="0"/>
          <w:numId w:val="22"/>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Бухгалтерский учет доверительным управляющим собственных операций, связанных с осуществлением договора доверительного управления имуществом </w:t>
      </w:r>
    </w:p>
    <w:p w:rsidR="008D7BEE" w:rsidRPr="008D7BEE" w:rsidRDefault="008D7BEE" w:rsidP="008D7BEE">
      <w:pPr>
        <w:numPr>
          <w:ilvl w:val="0"/>
          <w:numId w:val="22"/>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Бухгалтерский учет учредителем управления операций, связанных с осуществлением договора доверительного управления имуществом</w:t>
      </w:r>
    </w:p>
    <w:p w:rsidR="008D7BEE" w:rsidRPr="008D7BEE" w:rsidRDefault="008D7BEE" w:rsidP="008D7BEE">
      <w:pPr>
        <w:rPr>
          <w:rFonts w:ascii="Times New Roman" w:eastAsia="Calibri" w:hAnsi="Times New Roman" w:cs="Times New Roman"/>
          <w:b/>
          <w:bCs/>
          <w:color w:val="000000" w:themeColor="text1"/>
          <w:sz w:val="24"/>
          <w:szCs w:val="24"/>
          <w:lang w:eastAsia="en-US"/>
        </w:rPr>
      </w:pPr>
      <w:r w:rsidRPr="008D7BEE">
        <w:rPr>
          <w:rFonts w:ascii="Times New Roman" w:eastAsia="Calibri" w:hAnsi="Times New Roman" w:cs="Times New Roman"/>
          <w:b/>
          <w:bCs/>
          <w:iCs/>
          <w:color w:val="000000" w:themeColor="text1"/>
          <w:sz w:val="24"/>
          <w:szCs w:val="24"/>
          <w:lang w:eastAsia="en-US"/>
        </w:rPr>
        <w:t xml:space="preserve">Тема 6. </w:t>
      </w:r>
      <w:r w:rsidRPr="008D7BEE">
        <w:rPr>
          <w:rFonts w:ascii="Times New Roman" w:eastAsia="Calibri" w:hAnsi="Times New Roman" w:cs="Times New Roman"/>
          <w:b/>
          <w:bCs/>
          <w:color w:val="000000" w:themeColor="text1"/>
          <w:sz w:val="24"/>
          <w:szCs w:val="24"/>
          <w:lang w:eastAsia="en-US"/>
        </w:rPr>
        <w:t xml:space="preserve">Порядок учета общехозяйственных операций и прочих операций </w:t>
      </w:r>
      <w:proofErr w:type="spellStart"/>
      <w:r w:rsidRPr="008D7BEE">
        <w:rPr>
          <w:rFonts w:ascii="Times New Roman" w:eastAsia="Calibri" w:hAnsi="Times New Roman" w:cs="Times New Roman"/>
          <w:b/>
          <w:bCs/>
          <w:color w:val="000000" w:themeColor="text1"/>
          <w:sz w:val="24"/>
          <w:szCs w:val="24"/>
          <w:lang w:eastAsia="en-US"/>
        </w:rPr>
        <w:t>некредитных</w:t>
      </w:r>
      <w:proofErr w:type="spellEnd"/>
      <w:r w:rsidRPr="008D7BEE">
        <w:rPr>
          <w:rFonts w:ascii="Times New Roman" w:eastAsia="Calibri" w:hAnsi="Times New Roman" w:cs="Times New Roman"/>
          <w:b/>
          <w:bCs/>
          <w:color w:val="000000" w:themeColor="text1"/>
          <w:sz w:val="24"/>
          <w:szCs w:val="24"/>
          <w:lang w:eastAsia="en-US"/>
        </w:rPr>
        <w:t xml:space="preserve"> финансовых организациях в соответствии с общими отраслевыми стандартами бухгалтерского учета</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Основные нормативные документы</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Бухгалтерский учет основных средств</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Бухгалтерский учет нематериальных активов</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Бухгалтерский учет инвестиционного имущества</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Бухгалтерский учет долгосрочных активов, предназначенных для продажи</w:t>
      </w:r>
    </w:p>
    <w:p w:rsidR="008D7BEE" w:rsidRPr="008D7BEE" w:rsidRDefault="008D7BEE" w:rsidP="008D7BEE">
      <w:pPr>
        <w:numPr>
          <w:ilvl w:val="0"/>
          <w:numId w:val="24"/>
        </w:numPr>
        <w:tabs>
          <w:tab w:val="left" w:pos="360"/>
        </w:tabs>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Учет договоров аренды </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Бухгалтерский учет запасов, средств труда и предметов труда, полученных в результате прекращения обязательств должников по договорам отступного, залога, назначение которых не определено</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Положение Банка России от 04.09.2015 N 489-П "Отраслевой стандарт бухгалтерского учета вознаграждений работникам </w:t>
      </w:r>
      <w:proofErr w:type="spellStart"/>
      <w:r w:rsidRPr="008D7BEE">
        <w:rPr>
          <w:rFonts w:ascii="Times New Roman" w:eastAsia="Tahoma" w:hAnsi="Times New Roman" w:cs="Times New Roman"/>
          <w:color w:val="000000" w:themeColor="text1"/>
          <w:sz w:val="24"/>
          <w:szCs w:val="24"/>
          <w:lang w:eastAsia="en-US"/>
        </w:rPr>
        <w:t>некредитными</w:t>
      </w:r>
      <w:proofErr w:type="spellEnd"/>
      <w:r w:rsidRPr="008D7BEE">
        <w:rPr>
          <w:rFonts w:ascii="Times New Roman" w:eastAsia="Tahoma" w:hAnsi="Times New Roman" w:cs="Times New Roman"/>
          <w:color w:val="000000" w:themeColor="text1"/>
          <w:sz w:val="24"/>
          <w:szCs w:val="24"/>
          <w:lang w:eastAsia="en-US"/>
        </w:rPr>
        <w:t xml:space="preserve"> финансовыми организациями" </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Положение Банка России от 03.12.2015 N 508-П "Отраслевой стандарт бухгалтерского учета резервов - оценочных обязательств и условных обязательств </w:t>
      </w:r>
      <w:proofErr w:type="spellStart"/>
      <w:r w:rsidRPr="008D7BEE">
        <w:rPr>
          <w:rFonts w:ascii="Times New Roman" w:eastAsia="Tahoma" w:hAnsi="Times New Roman" w:cs="Times New Roman"/>
          <w:color w:val="000000" w:themeColor="text1"/>
          <w:sz w:val="24"/>
          <w:szCs w:val="24"/>
          <w:lang w:eastAsia="en-US"/>
        </w:rPr>
        <w:t>некредитными</w:t>
      </w:r>
      <w:proofErr w:type="spellEnd"/>
      <w:r w:rsidRPr="008D7BEE">
        <w:rPr>
          <w:rFonts w:ascii="Times New Roman" w:eastAsia="Tahoma" w:hAnsi="Times New Roman" w:cs="Times New Roman"/>
          <w:color w:val="000000" w:themeColor="text1"/>
          <w:sz w:val="24"/>
          <w:szCs w:val="24"/>
          <w:lang w:eastAsia="en-US"/>
        </w:rPr>
        <w:t xml:space="preserve"> финансовыми организациями". </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Положение Банка России от 04.09.2015 N 490-П "Отраслевой стандарт бухгалтерского учета отложенных налоговых обязательств и отложенных налоговых активов </w:t>
      </w:r>
      <w:proofErr w:type="spellStart"/>
      <w:r w:rsidRPr="008D7BEE">
        <w:rPr>
          <w:rFonts w:ascii="Times New Roman" w:eastAsia="Tahoma" w:hAnsi="Times New Roman" w:cs="Times New Roman"/>
          <w:color w:val="000000" w:themeColor="text1"/>
          <w:sz w:val="24"/>
          <w:szCs w:val="24"/>
          <w:lang w:eastAsia="en-US"/>
        </w:rPr>
        <w:t>некредитными</w:t>
      </w:r>
      <w:proofErr w:type="spellEnd"/>
      <w:r w:rsidRPr="008D7BEE">
        <w:rPr>
          <w:rFonts w:ascii="Times New Roman" w:eastAsia="Tahoma" w:hAnsi="Times New Roman" w:cs="Times New Roman"/>
          <w:color w:val="000000" w:themeColor="text1"/>
          <w:sz w:val="24"/>
          <w:szCs w:val="24"/>
          <w:lang w:eastAsia="en-US"/>
        </w:rPr>
        <w:t xml:space="preserve"> финансовыми организациями"</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Учет событий после окончания отчетного года, </w:t>
      </w:r>
    </w:p>
    <w:p w:rsidR="008D7BEE" w:rsidRPr="008D7BEE" w:rsidRDefault="008D7BEE" w:rsidP="008D7BEE">
      <w:pPr>
        <w:numPr>
          <w:ilvl w:val="0"/>
          <w:numId w:val="24"/>
        </w:numPr>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Положение Банка России от 28.12.2015 N 523-П "Отраслевой стандарт бухгалтерского учета «Порядок исправления ошибок в бухгалтерском учете и бухгалтерской (финансовой) отчетности </w:t>
      </w:r>
      <w:proofErr w:type="spellStart"/>
      <w:r w:rsidRPr="008D7BEE">
        <w:rPr>
          <w:rFonts w:ascii="Times New Roman" w:eastAsia="Tahoma" w:hAnsi="Times New Roman" w:cs="Times New Roman"/>
          <w:color w:val="000000" w:themeColor="text1"/>
          <w:sz w:val="24"/>
          <w:szCs w:val="24"/>
          <w:lang w:eastAsia="en-US"/>
        </w:rPr>
        <w:t>некредитными</w:t>
      </w:r>
      <w:proofErr w:type="spellEnd"/>
      <w:r w:rsidRPr="008D7BEE">
        <w:rPr>
          <w:rFonts w:ascii="Times New Roman" w:eastAsia="Tahoma" w:hAnsi="Times New Roman" w:cs="Times New Roman"/>
          <w:color w:val="000000" w:themeColor="text1"/>
          <w:sz w:val="24"/>
          <w:szCs w:val="24"/>
          <w:lang w:eastAsia="en-US"/>
        </w:rPr>
        <w:t xml:space="preserve"> финансовыми организациями» </w:t>
      </w:r>
    </w:p>
    <w:p w:rsidR="008D7BEE" w:rsidRPr="008D7BEE" w:rsidRDefault="008D7BEE" w:rsidP="008D7BEE">
      <w:pPr>
        <w:rPr>
          <w:rFonts w:ascii="Times New Roman" w:eastAsia="Calibri" w:hAnsi="Times New Roman" w:cs="Times New Roman"/>
          <w:b/>
          <w:bCs/>
          <w:iCs/>
          <w:color w:val="000000" w:themeColor="text1"/>
          <w:sz w:val="24"/>
          <w:szCs w:val="24"/>
          <w:lang w:eastAsia="en-US"/>
        </w:rPr>
      </w:pPr>
      <w:r w:rsidRPr="008D7BEE">
        <w:rPr>
          <w:rFonts w:ascii="Times New Roman" w:eastAsia="Calibri" w:hAnsi="Times New Roman" w:cs="Times New Roman"/>
          <w:b/>
          <w:bCs/>
          <w:iCs/>
          <w:color w:val="000000" w:themeColor="text1"/>
          <w:sz w:val="24"/>
          <w:szCs w:val="24"/>
          <w:lang w:eastAsia="en-US"/>
        </w:rPr>
        <w:t>Тема 7. Отраслевой стандарт бухгалтерского учета «Порядок составления бухгалтерской (финансовой) отчетности профессиональных участников рынка ценных бумаг, акционерных инвестиционных фондов, организаторов торговли, центральных контрагентов, клиринговых организаций, специализированных депозитариев инвестиционного фонда, паевого инвестиционного фонда и негосударственного пенсионного фонда, управляющих компаний инвестиционного фонда, паевого инвестиционного фонда и негосударственного пенсионного фонда, бюро кредитных историй, кредитных рейтинговых агентств, страховых брокеров» №532-П от 03.02.2016</w:t>
      </w:r>
    </w:p>
    <w:p w:rsidR="008D7BEE" w:rsidRPr="008D7BEE" w:rsidRDefault="008D7BEE" w:rsidP="008D7BEE">
      <w:pPr>
        <w:numPr>
          <w:ilvl w:val="0"/>
          <w:numId w:val="23"/>
        </w:numPr>
        <w:tabs>
          <w:tab w:val="left" w:pos="630"/>
        </w:tabs>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Особенности составления бухгалтерской финансовой отчетности (БФО)</w:t>
      </w:r>
    </w:p>
    <w:p w:rsidR="008D7BEE" w:rsidRPr="008D7BEE" w:rsidRDefault="008D7BEE" w:rsidP="008D7BEE">
      <w:pPr>
        <w:numPr>
          <w:ilvl w:val="0"/>
          <w:numId w:val="23"/>
        </w:numPr>
        <w:tabs>
          <w:tab w:val="left" w:pos="630"/>
        </w:tabs>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Порядок составления БФО</w:t>
      </w:r>
    </w:p>
    <w:p w:rsidR="008D7BEE" w:rsidRPr="008D7BEE" w:rsidRDefault="008D7BEE" w:rsidP="008D7BEE">
      <w:pPr>
        <w:numPr>
          <w:ilvl w:val="0"/>
          <w:numId w:val="23"/>
        </w:numPr>
        <w:tabs>
          <w:tab w:val="left" w:pos="630"/>
        </w:tabs>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Требования к представлению БФО</w:t>
      </w:r>
    </w:p>
    <w:p w:rsidR="008D7BEE" w:rsidRPr="008D7BEE" w:rsidRDefault="008D7BEE" w:rsidP="008D7BEE">
      <w:pPr>
        <w:numPr>
          <w:ilvl w:val="0"/>
          <w:numId w:val="23"/>
        </w:numPr>
        <w:tabs>
          <w:tab w:val="left" w:pos="630"/>
        </w:tabs>
        <w:ind w:left="360"/>
        <w:rPr>
          <w:rFonts w:ascii="Times New Roman" w:eastAsia="Calibri" w:hAnsi="Times New Roman" w:cs="Times New Roman"/>
          <w:color w:val="000000" w:themeColor="text1"/>
          <w:sz w:val="24"/>
          <w:szCs w:val="24"/>
          <w:lang w:eastAsia="en-US"/>
        </w:rPr>
      </w:pPr>
      <w:r w:rsidRPr="008D7BEE">
        <w:rPr>
          <w:rFonts w:ascii="Times New Roman" w:eastAsia="Calibri" w:hAnsi="Times New Roman" w:cs="Times New Roman"/>
          <w:color w:val="000000" w:themeColor="text1"/>
          <w:sz w:val="24"/>
          <w:szCs w:val="24"/>
          <w:lang w:eastAsia="en-US"/>
        </w:rPr>
        <w:t>Состав обязательных форм отчетности и раскрытий к отчетности</w:t>
      </w:r>
    </w:p>
    <w:p w:rsidR="008D7BEE" w:rsidRPr="008D7BEE" w:rsidRDefault="008D7BEE" w:rsidP="008D7BEE">
      <w:pPr>
        <w:numPr>
          <w:ilvl w:val="0"/>
          <w:numId w:val="23"/>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Бухгалтерский баланс </w:t>
      </w:r>
      <w:proofErr w:type="spellStart"/>
      <w:r w:rsidRPr="008D7BEE">
        <w:rPr>
          <w:rFonts w:ascii="Times New Roman" w:eastAsia="Tahoma" w:hAnsi="Times New Roman" w:cs="Times New Roman"/>
          <w:color w:val="000000" w:themeColor="text1"/>
          <w:sz w:val="24"/>
          <w:szCs w:val="24"/>
          <w:lang w:eastAsia="en-US"/>
        </w:rPr>
        <w:t>некредитной</w:t>
      </w:r>
      <w:proofErr w:type="spellEnd"/>
      <w:r w:rsidRPr="008D7BEE">
        <w:rPr>
          <w:rFonts w:ascii="Times New Roman" w:eastAsia="Tahoma" w:hAnsi="Times New Roman" w:cs="Times New Roman"/>
          <w:color w:val="000000" w:themeColor="text1"/>
          <w:sz w:val="24"/>
          <w:szCs w:val="24"/>
          <w:lang w:eastAsia="en-US"/>
        </w:rPr>
        <w:t xml:space="preserve"> финансовой организации</w:t>
      </w:r>
    </w:p>
    <w:p w:rsidR="008D7BEE" w:rsidRPr="008D7BEE" w:rsidRDefault="008D7BEE" w:rsidP="008D7BEE">
      <w:pPr>
        <w:numPr>
          <w:ilvl w:val="0"/>
          <w:numId w:val="23"/>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Отчет о финансовых результатах </w:t>
      </w:r>
      <w:proofErr w:type="spellStart"/>
      <w:r w:rsidRPr="008D7BEE">
        <w:rPr>
          <w:rFonts w:ascii="Times New Roman" w:eastAsia="Tahoma" w:hAnsi="Times New Roman" w:cs="Times New Roman"/>
          <w:color w:val="000000" w:themeColor="text1"/>
          <w:sz w:val="24"/>
          <w:szCs w:val="24"/>
          <w:lang w:eastAsia="en-US"/>
        </w:rPr>
        <w:t>некредитной</w:t>
      </w:r>
      <w:proofErr w:type="spellEnd"/>
      <w:r w:rsidRPr="008D7BEE">
        <w:rPr>
          <w:rFonts w:ascii="Times New Roman" w:eastAsia="Tahoma" w:hAnsi="Times New Roman" w:cs="Times New Roman"/>
          <w:color w:val="000000" w:themeColor="text1"/>
          <w:sz w:val="24"/>
          <w:szCs w:val="24"/>
          <w:lang w:eastAsia="en-US"/>
        </w:rPr>
        <w:t xml:space="preserve"> финансовой организации</w:t>
      </w:r>
    </w:p>
    <w:p w:rsidR="008D7BEE" w:rsidRPr="008D7BEE" w:rsidRDefault="008D7BEE" w:rsidP="008D7BEE">
      <w:pPr>
        <w:numPr>
          <w:ilvl w:val="0"/>
          <w:numId w:val="23"/>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Отчет об изменениях собственного капитала </w:t>
      </w:r>
      <w:proofErr w:type="spellStart"/>
      <w:r w:rsidRPr="008D7BEE">
        <w:rPr>
          <w:rFonts w:ascii="Times New Roman" w:eastAsia="Tahoma" w:hAnsi="Times New Roman" w:cs="Times New Roman"/>
          <w:color w:val="000000" w:themeColor="text1"/>
          <w:sz w:val="24"/>
          <w:szCs w:val="24"/>
          <w:lang w:eastAsia="en-US"/>
        </w:rPr>
        <w:t>некредитной</w:t>
      </w:r>
      <w:proofErr w:type="spellEnd"/>
      <w:r w:rsidRPr="008D7BEE">
        <w:rPr>
          <w:rFonts w:ascii="Times New Roman" w:eastAsia="Tahoma" w:hAnsi="Times New Roman" w:cs="Times New Roman"/>
          <w:color w:val="000000" w:themeColor="text1"/>
          <w:sz w:val="24"/>
          <w:szCs w:val="24"/>
          <w:lang w:eastAsia="en-US"/>
        </w:rPr>
        <w:t xml:space="preserve"> финансовой организации</w:t>
      </w:r>
    </w:p>
    <w:p w:rsidR="008D7BEE" w:rsidRPr="008D7BEE" w:rsidRDefault="008D7BEE" w:rsidP="008D7BEE">
      <w:pPr>
        <w:numPr>
          <w:ilvl w:val="0"/>
          <w:numId w:val="23"/>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Отчет о потоках денежных средств </w:t>
      </w:r>
      <w:proofErr w:type="spellStart"/>
      <w:r w:rsidRPr="008D7BEE">
        <w:rPr>
          <w:rFonts w:ascii="Times New Roman" w:eastAsia="Tahoma" w:hAnsi="Times New Roman" w:cs="Times New Roman"/>
          <w:color w:val="000000" w:themeColor="text1"/>
          <w:sz w:val="24"/>
          <w:szCs w:val="24"/>
          <w:lang w:eastAsia="en-US"/>
        </w:rPr>
        <w:t>некредитной</w:t>
      </w:r>
      <w:proofErr w:type="spellEnd"/>
      <w:r w:rsidRPr="008D7BEE">
        <w:rPr>
          <w:rFonts w:ascii="Times New Roman" w:eastAsia="Tahoma" w:hAnsi="Times New Roman" w:cs="Times New Roman"/>
          <w:color w:val="000000" w:themeColor="text1"/>
          <w:sz w:val="24"/>
          <w:szCs w:val="24"/>
          <w:lang w:eastAsia="en-US"/>
        </w:rPr>
        <w:t xml:space="preserve"> финансовой организации</w:t>
      </w:r>
    </w:p>
    <w:p w:rsidR="008D7BEE" w:rsidRPr="008D7BEE" w:rsidRDefault="008D7BEE" w:rsidP="008D7BEE">
      <w:pPr>
        <w:numPr>
          <w:ilvl w:val="0"/>
          <w:numId w:val="23"/>
        </w:numPr>
        <w:ind w:left="360"/>
        <w:contextualSpacing/>
        <w:rPr>
          <w:rFonts w:ascii="Times New Roman" w:eastAsia="Tahoma" w:hAnsi="Times New Roman" w:cs="Times New Roman"/>
          <w:color w:val="000000" w:themeColor="text1"/>
          <w:sz w:val="24"/>
          <w:szCs w:val="24"/>
          <w:lang w:eastAsia="en-US"/>
        </w:rPr>
      </w:pPr>
      <w:r w:rsidRPr="008D7BEE">
        <w:rPr>
          <w:rFonts w:ascii="Times New Roman" w:eastAsia="Tahoma" w:hAnsi="Times New Roman" w:cs="Times New Roman"/>
          <w:color w:val="000000" w:themeColor="text1"/>
          <w:sz w:val="24"/>
          <w:szCs w:val="24"/>
          <w:lang w:eastAsia="en-US"/>
        </w:rPr>
        <w:t xml:space="preserve">Примечания в составе БФО </w:t>
      </w:r>
      <w:proofErr w:type="spellStart"/>
      <w:r w:rsidRPr="008D7BEE">
        <w:rPr>
          <w:rFonts w:ascii="Times New Roman" w:eastAsia="Tahoma" w:hAnsi="Times New Roman" w:cs="Times New Roman"/>
          <w:color w:val="000000" w:themeColor="text1"/>
          <w:sz w:val="24"/>
          <w:szCs w:val="24"/>
          <w:lang w:eastAsia="en-US"/>
        </w:rPr>
        <w:t>некредитной</w:t>
      </w:r>
      <w:proofErr w:type="spellEnd"/>
      <w:r w:rsidRPr="008D7BEE">
        <w:rPr>
          <w:rFonts w:ascii="Times New Roman" w:eastAsia="Tahoma" w:hAnsi="Times New Roman" w:cs="Times New Roman"/>
          <w:color w:val="000000" w:themeColor="text1"/>
          <w:sz w:val="24"/>
          <w:szCs w:val="24"/>
          <w:lang w:eastAsia="en-US"/>
        </w:rPr>
        <w:t xml:space="preserve"> финансовой организации</w:t>
      </w:r>
    </w:p>
    <w:p w:rsidR="00664FD7" w:rsidRPr="00793579" w:rsidRDefault="00664FD7" w:rsidP="00664FD7">
      <w:pPr>
        <w:ind w:left="675"/>
        <w:rPr>
          <w:color w:val="000000" w:themeColor="text1"/>
        </w:rPr>
      </w:pPr>
    </w:p>
    <w:p w:rsidR="00315E54" w:rsidRPr="00680B0B" w:rsidRDefault="00680B0B" w:rsidP="00184DFF">
      <w:pPr>
        <w:rPr>
          <w:rFonts w:ascii="Times New Roman" w:hAnsi="Times New Roman"/>
          <w:color w:val="000000"/>
          <w:sz w:val="24"/>
          <w:szCs w:val="24"/>
        </w:rPr>
      </w:pPr>
      <w:r w:rsidRPr="00680B0B">
        <w:rPr>
          <w:rFonts w:ascii="Times New Roman" w:hAnsi="Times New Roman"/>
          <w:b/>
          <w:sz w:val="24"/>
          <w:szCs w:val="24"/>
        </w:rPr>
        <w:t>Курс проводит</w:t>
      </w:r>
      <w:r w:rsidRPr="00680B0B">
        <w:rPr>
          <w:rFonts w:ascii="Times New Roman" w:hAnsi="Times New Roman"/>
          <w:sz w:val="24"/>
          <w:szCs w:val="24"/>
        </w:rPr>
        <w:t xml:space="preserve"> </w:t>
      </w:r>
      <w:r>
        <w:rPr>
          <w:rFonts w:ascii="PT Sans" w:hAnsi="PT Sans"/>
          <w:color w:val="000000"/>
          <w:sz w:val="21"/>
          <w:szCs w:val="21"/>
          <w:shd w:val="clear" w:color="auto" w:fill="FFFFFF"/>
        </w:rPr>
        <w:t>ведущий методолог Института МФЦ по применению НФО ЕПС и ОСБУ для УК, СД и ПУРЦБ</w:t>
      </w:r>
      <w:r w:rsidRPr="00680B0B">
        <w:rPr>
          <w:rFonts w:ascii="Times New Roman" w:hAnsi="Times New Roman"/>
          <w:color w:val="000000"/>
          <w:sz w:val="24"/>
          <w:szCs w:val="24"/>
        </w:rPr>
        <w:t>, практикующий аттестованный аудитор участников финансового рынка, аттестованный налоговый консультант, аттестованный специалист финансового рынка, руководила финансовым блоком крупной инвестиционной компании, с опытом работы в кредитной организации.</w:t>
      </w:r>
    </w:p>
    <w:p w:rsidR="00680B0B" w:rsidRPr="00680B0B" w:rsidRDefault="00680B0B" w:rsidP="00184DFF">
      <w:pPr>
        <w:rPr>
          <w:rFonts w:ascii="Times New Roman" w:hAnsi="Times New Roman" w:cs="Times New Roman"/>
          <w:b/>
          <w:sz w:val="24"/>
          <w:szCs w:val="24"/>
        </w:rPr>
      </w:pPr>
    </w:p>
    <w:p w:rsidR="00087F32" w:rsidRPr="00680B0B" w:rsidRDefault="0028226F" w:rsidP="00184DFF">
      <w:pPr>
        <w:rPr>
          <w:rFonts w:ascii="Times New Roman" w:hAnsi="Times New Roman" w:cs="Times New Roman"/>
          <w:sz w:val="24"/>
          <w:szCs w:val="24"/>
        </w:rPr>
      </w:pPr>
      <w:r w:rsidRPr="00680B0B">
        <w:rPr>
          <w:rFonts w:ascii="Times New Roman" w:hAnsi="Times New Roman" w:cs="Times New Roman"/>
          <w:b/>
          <w:sz w:val="24"/>
          <w:szCs w:val="24"/>
        </w:rPr>
        <w:t>Стоимость</w:t>
      </w:r>
      <w:r w:rsidR="00E004A9" w:rsidRPr="00680B0B">
        <w:rPr>
          <w:rFonts w:ascii="Times New Roman" w:hAnsi="Times New Roman" w:cs="Times New Roman"/>
          <w:sz w:val="24"/>
          <w:szCs w:val="24"/>
        </w:rPr>
        <w:t xml:space="preserve"> участия для одного </w:t>
      </w:r>
      <w:r w:rsidR="0078246B" w:rsidRPr="00680B0B">
        <w:rPr>
          <w:rFonts w:ascii="Times New Roman" w:hAnsi="Times New Roman" w:cs="Times New Roman"/>
          <w:sz w:val="24"/>
          <w:szCs w:val="24"/>
        </w:rPr>
        <w:t>слушателя</w:t>
      </w:r>
      <w:r w:rsidR="00E004A9" w:rsidRPr="00680B0B">
        <w:rPr>
          <w:rFonts w:ascii="Times New Roman" w:hAnsi="Times New Roman" w:cs="Times New Roman"/>
          <w:sz w:val="24"/>
          <w:szCs w:val="24"/>
        </w:rPr>
        <w:t xml:space="preserve"> составляет </w:t>
      </w:r>
      <w:r w:rsidR="008D7BEE">
        <w:rPr>
          <w:rFonts w:ascii="Times New Roman" w:hAnsi="Times New Roman" w:cs="Times New Roman"/>
          <w:sz w:val="24"/>
          <w:szCs w:val="24"/>
        </w:rPr>
        <w:t>20</w:t>
      </w:r>
      <w:r w:rsidR="00680B0B">
        <w:rPr>
          <w:rFonts w:ascii="Times New Roman" w:hAnsi="Times New Roman" w:cs="Times New Roman"/>
          <w:sz w:val="24"/>
          <w:szCs w:val="24"/>
        </w:rPr>
        <w:t xml:space="preserve"> 000</w:t>
      </w:r>
      <w:r w:rsidR="00E004A9" w:rsidRPr="00680B0B">
        <w:rPr>
          <w:rFonts w:ascii="Times New Roman" w:hAnsi="Times New Roman" w:cs="Times New Roman"/>
          <w:sz w:val="24"/>
          <w:szCs w:val="24"/>
        </w:rPr>
        <w:t xml:space="preserve"> </w:t>
      </w:r>
      <w:r w:rsidR="00FD3099" w:rsidRPr="00680B0B">
        <w:rPr>
          <w:rFonts w:ascii="Times New Roman" w:hAnsi="Times New Roman" w:cs="Times New Roman"/>
          <w:sz w:val="24"/>
          <w:szCs w:val="24"/>
        </w:rPr>
        <w:t>(</w:t>
      </w:r>
      <w:r w:rsidR="008D7BEE">
        <w:rPr>
          <w:rFonts w:ascii="Times New Roman" w:hAnsi="Times New Roman" w:cs="Times New Roman"/>
          <w:sz w:val="24"/>
          <w:szCs w:val="24"/>
        </w:rPr>
        <w:t>двадцать тысяч</w:t>
      </w:r>
      <w:bookmarkStart w:id="0" w:name="_GoBack"/>
      <w:bookmarkEnd w:id="0"/>
      <w:r w:rsidR="00E004A9" w:rsidRPr="00680B0B">
        <w:rPr>
          <w:rFonts w:ascii="Times New Roman" w:hAnsi="Times New Roman" w:cs="Times New Roman"/>
          <w:sz w:val="24"/>
          <w:szCs w:val="24"/>
        </w:rPr>
        <w:t xml:space="preserve">) рублей, НДС не облагается. </w:t>
      </w:r>
      <w:r w:rsidR="00C735C8" w:rsidRPr="00680B0B">
        <w:rPr>
          <w:rFonts w:ascii="Times New Roman" w:hAnsi="Times New Roman" w:cs="Times New Roman"/>
          <w:b/>
          <w:bCs/>
          <w:sz w:val="24"/>
          <w:szCs w:val="24"/>
        </w:rPr>
        <w:t>Скидки</w:t>
      </w:r>
      <w:r w:rsidR="00C735C8" w:rsidRPr="00680B0B">
        <w:rPr>
          <w:rFonts w:ascii="Times New Roman" w:hAnsi="Times New Roman" w:cs="Times New Roman"/>
          <w:sz w:val="24"/>
          <w:szCs w:val="24"/>
        </w:rPr>
        <w:t xml:space="preserve"> в размере 10 процентов предоставляются клиентам Института/</w:t>
      </w:r>
      <w:r w:rsidR="001C04DD" w:rsidRPr="00680B0B">
        <w:rPr>
          <w:rFonts w:ascii="Times New Roman" w:hAnsi="Times New Roman" w:cs="Times New Roman"/>
          <w:sz w:val="24"/>
          <w:szCs w:val="24"/>
        </w:rPr>
        <w:t>Учебного центра МФЦ, а также, начиная со второго слушателя от одной организации.</w:t>
      </w:r>
    </w:p>
    <w:p w:rsidR="00B60496" w:rsidRPr="00680B0B" w:rsidRDefault="00B60496" w:rsidP="00315E54">
      <w:pPr>
        <w:ind w:right="-6"/>
        <w:rPr>
          <w:rFonts w:ascii="Times New Roman" w:hAnsi="Times New Roman" w:cs="Times New Roman"/>
          <w:b/>
          <w:bCs/>
          <w:sz w:val="24"/>
          <w:szCs w:val="24"/>
        </w:rPr>
      </w:pPr>
    </w:p>
    <w:p w:rsidR="00315E54" w:rsidRPr="00680B0B" w:rsidRDefault="00315E54" w:rsidP="00315E54">
      <w:pPr>
        <w:ind w:right="-6"/>
        <w:rPr>
          <w:rFonts w:ascii="Times New Roman" w:hAnsi="Times New Roman" w:cs="Times New Roman"/>
          <w:b/>
          <w:bCs/>
          <w:iCs/>
          <w:sz w:val="24"/>
          <w:szCs w:val="24"/>
        </w:rPr>
      </w:pPr>
      <w:r w:rsidRPr="00680B0B">
        <w:rPr>
          <w:rFonts w:ascii="Times New Roman" w:hAnsi="Times New Roman" w:cs="Times New Roman"/>
          <w:b/>
          <w:bCs/>
          <w:sz w:val="24"/>
          <w:szCs w:val="24"/>
        </w:rPr>
        <w:t>З</w:t>
      </w:r>
      <w:r w:rsidRPr="00680B0B">
        <w:rPr>
          <w:rFonts w:ascii="Times New Roman" w:hAnsi="Times New Roman" w:cs="Times New Roman"/>
          <w:b/>
          <w:iCs/>
          <w:sz w:val="24"/>
          <w:szCs w:val="24"/>
        </w:rPr>
        <w:t>аявки на участие</w:t>
      </w:r>
      <w:r w:rsidRPr="00680B0B">
        <w:rPr>
          <w:rFonts w:ascii="Times New Roman" w:hAnsi="Times New Roman" w:cs="Times New Roman"/>
          <w:b/>
          <w:bCs/>
          <w:iCs/>
          <w:sz w:val="24"/>
          <w:szCs w:val="24"/>
        </w:rPr>
        <w:t xml:space="preserve"> просьба направлять до </w:t>
      </w:r>
      <w:r w:rsidR="00664FD7">
        <w:rPr>
          <w:rFonts w:ascii="Times New Roman" w:hAnsi="Times New Roman" w:cs="Times New Roman"/>
          <w:b/>
          <w:bCs/>
          <w:iCs/>
          <w:sz w:val="24"/>
          <w:szCs w:val="24"/>
        </w:rPr>
        <w:t>26</w:t>
      </w:r>
      <w:r w:rsidR="00680B0B">
        <w:rPr>
          <w:rFonts w:ascii="Times New Roman" w:hAnsi="Times New Roman" w:cs="Times New Roman"/>
          <w:b/>
          <w:bCs/>
          <w:iCs/>
          <w:sz w:val="24"/>
          <w:szCs w:val="24"/>
        </w:rPr>
        <w:t xml:space="preserve"> ноября</w:t>
      </w:r>
      <w:r w:rsidRPr="00680B0B">
        <w:rPr>
          <w:rFonts w:ascii="Times New Roman" w:hAnsi="Times New Roman" w:cs="Times New Roman"/>
          <w:b/>
          <w:bCs/>
          <w:iCs/>
          <w:sz w:val="24"/>
          <w:szCs w:val="24"/>
        </w:rPr>
        <w:t xml:space="preserve"> 2023 г. включительно</w:t>
      </w:r>
      <w:r w:rsidRPr="00680B0B">
        <w:rPr>
          <w:rFonts w:ascii="Times New Roman" w:hAnsi="Times New Roman" w:cs="Times New Roman"/>
          <w:b/>
          <w:bCs/>
          <w:i/>
          <w:iCs/>
          <w:sz w:val="24"/>
          <w:szCs w:val="24"/>
        </w:rPr>
        <w:t xml:space="preserve"> </w:t>
      </w:r>
      <w:r w:rsidRPr="00680B0B">
        <w:rPr>
          <w:rFonts w:ascii="Times New Roman" w:hAnsi="Times New Roman" w:cs="Times New Roman"/>
          <w:bCs/>
          <w:i/>
          <w:iCs/>
          <w:sz w:val="24"/>
          <w:szCs w:val="24"/>
        </w:rPr>
        <w:t>на имя</w:t>
      </w:r>
      <w:r w:rsidRPr="00680B0B">
        <w:rPr>
          <w:rFonts w:ascii="Times New Roman" w:hAnsi="Times New Roman" w:cs="Times New Roman"/>
          <w:i/>
          <w:iCs/>
          <w:sz w:val="24"/>
          <w:szCs w:val="24"/>
        </w:rPr>
        <w:t xml:space="preserve"> Ивановой Марии или </w:t>
      </w:r>
      <w:proofErr w:type="spellStart"/>
      <w:r w:rsidR="00DB7C34">
        <w:rPr>
          <w:rFonts w:ascii="Times New Roman" w:hAnsi="Times New Roman" w:cs="Times New Roman"/>
          <w:i/>
          <w:iCs/>
          <w:sz w:val="24"/>
          <w:szCs w:val="24"/>
        </w:rPr>
        <w:t>Суреевой</w:t>
      </w:r>
      <w:proofErr w:type="spellEnd"/>
      <w:r w:rsidR="00DB7C34">
        <w:rPr>
          <w:rFonts w:ascii="Times New Roman" w:hAnsi="Times New Roman" w:cs="Times New Roman"/>
          <w:i/>
          <w:iCs/>
          <w:sz w:val="24"/>
          <w:szCs w:val="24"/>
        </w:rPr>
        <w:t xml:space="preserve"> Анжелы</w:t>
      </w:r>
      <w:r w:rsidRPr="00680B0B">
        <w:rPr>
          <w:rFonts w:ascii="Times New Roman" w:hAnsi="Times New Roman" w:cs="Times New Roman"/>
          <w:i/>
          <w:iCs/>
          <w:sz w:val="24"/>
          <w:szCs w:val="24"/>
        </w:rPr>
        <w:t xml:space="preserve"> по</w:t>
      </w:r>
      <w:r w:rsidRPr="00680B0B">
        <w:rPr>
          <w:rFonts w:ascii="Times New Roman" w:hAnsi="Times New Roman" w:cs="Times New Roman"/>
          <w:b/>
          <w:bCs/>
          <w:i/>
          <w:iCs/>
          <w:sz w:val="24"/>
          <w:szCs w:val="24"/>
        </w:rPr>
        <w:t xml:space="preserve"> тел./ф. +7(495) 921-2273 — многоканальный</w:t>
      </w:r>
      <w:r w:rsidRPr="00680B0B">
        <w:rPr>
          <w:rFonts w:ascii="Times New Roman" w:hAnsi="Times New Roman" w:cs="Times New Roman"/>
          <w:bCs/>
          <w:i/>
          <w:iCs/>
          <w:sz w:val="24"/>
          <w:szCs w:val="24"/>
        </w:rPr>
        <w:t>;</w:t>
      </w:r>
      <w:r w:rsidRPr="00680B0B">
        <w:rPr>
          <w:rFonts w:ascii="Times New Roman" w:hAnsi="Times New Roman" w:cs="Times New Roman"/>
          <w:b/>
          <w:bCs/>
          <w:i/>
          <w:iCs/>
          <w:sz w:val="24"/>
          <w:szCs w:val="24"/>
        </w:rPr>
        <w:t xml:space="preserve"> </w:t>
      </w:r>
      <w:r w:rsidRPr="00680B0B">
        <w:rPr>
          <w:rFonts w:ascii="Times New Roman" w:hAnsi="Times New Roman" w:cs="Times New Roman"/>
          <w:b/>
          <w:bCs/>
          <w:i/>
          <w:iCs/>
          <w:sz w:val="24"/>
          <w:szCs w:val="24"/>
          <w:lang w:val="en-US"/>
        </w:rPr>
        <w:t>e</w:t>
      </w:r>
      <w:r w:rsidRPr="00680B0B">
        <w:rPr>
          <w:rFonts w:ascii="Times New Roman" w:hAnsi="Times New Roman" w:cs="Times New Roman"/>
          <w:b/>
          <w:bCs/>
          <w:i/>
          <w:iCs/>
          <w:sz w:val="24"/>
          <w:szCs w:val="24"/>
        </w:rPr>
        <w:t>-</w:t>
      </w:r>
      <w:r w:rsidRPr="00680B0B">
        <w:rPr>
          <w:rFonts w:ascii="Times New Roman" w:hAnsi="Times New Roman" w:cs="Times New Roman"/>
          <w:b/>
          <w:bCs/>
          <w:i/>
          <w:iCs/>
          <w:sz w:val="24"/>
          <w:szCs w:val="24"/>
          <w:lang w:val="en-US"/>
        </w:rPr>
        <w:t>mail</w:t>
      </w:r>
      <w:r w:rsidRPr="00680B0B">
        <w:rPr>
          <w:rFonts w:ascii="Times New Roman" w:hAnsi="Times New Roman" w:cs="Times New Roman"/>
          <w:b/>
          <w:bCs/>
          <w:i/>
          <w:iCs/>
          <w:sz w:val="24"/>
          <w:szCs w:val="24"/>
        </w:rPr>
        <w:t xml:space="preserve">: </w:t>
      </w:r>
      <w:r w:rsidRPr="00680B0B">
        <w:rPr>
          <w:rFonts w:ascii="Times New Roman" w:hAnsi="Times New Roman" w:cs="Times New Roman"/>
          <w:b/>
          <w:bCs/>
          <w:i/>
          <w:iCs/>
          <w:color w:val="0000FF"/>
          <w:sz w:val="24"/>
          <w:szCs w:val="24"/>
          <w:u w:val="single"/>
          <w:lang w:val="en-US"/>
        </w:rPr>
        <w:t>seminar</w:t>
      </w:r>
      <w:r w:rsidRPr="00680B0B">
        <w:rPr>
          <w:rFonts w:ascii="Times New Roman" w:hAnsi="Times New Roman" w:cs="Times New Roman"/>
          <w:b/>
          <w:bCs/>
          <w:i/>
          <w:iCs/>
          <w:color w:val="0000FF"/>
          <w:sz w:val="24"/>
          <w:szCs w:val="24"/>
          <w:u w:val="single"/>
        </w:rPr>
        <w:t>2@educenter.ru</w:t>
      </w:r>
      <w:r w:rsidRPr="00680B0B">
        <w:rPr>
          <w:rFonts w:ascii="Times New Roman" w:hAnsi="Times New Roman" w:cs="Times New Roman"/>
          <w:b/>
          <w:bCs/>
          <w:i/>
          <w:iCs/>
          <w:sz w:val="24"/>
          <w:szCs w:val="24"/>
        </w:rPr>
        <w:t xml:space="preserve">, </w:t>
      </w:r>
      <w:r w:rsidR="00DB7C34" w:rsidRPr="00DB7C34">
        <w:rPr>
          <w:rFonts w:ascii="Times New Roman" w:hAnsi="Times New Roman" w:cs="Times New Roman"/>
          <w:b/>
          <w:bCs/>
          <w:i/>
          <w:iCs/>
          <w:color w:val="0000FF"/>
          <w:sz w:val="24"/>
          <w:szCs w:val="24"/>
          <w:u w:val="single"/>
        </w:rPr>
        <w:t>angela</w:t>
      </w:r>
      <w:r w:rsidRPr="00680B0B">
        <w:rPr>
          <w:rFonts w:ascii="Times New Roman" w:hAnsi="Times New Roman" w:cs="Times New Roman"/>
          <w:b/>
          <w:bCs/>
          <w:i/>
          <w:iCs/>
          <w:color w:val="0000FF"/>
          <w:sz w:val="24"/>
          <w:szCs w:val="24"/>
          <w:u w:val="single"/>
        </w:rPr>
        <w:t>@educenter.ru</w:t>
      </w:r>
      <w:r w:rsidRPr="00680B0B">
        <w:rPr>
          <w:rFonts w:ascii="Times New Roman" w:hAnsi="Times New Roman" w:cs="Times New Roman"/>
          <w:b/>
          <w:bCs/>
          <w:i/>
          <w:iCs/>
          <w:sz w:val="24"/>
          <w:szCs w:val="24"/>
        </w:rPr>
        <w:t xml:space="preserve"> интернет: </w:t>
      </w:r>
      <w:hyperlink r:id="rId12" w:history="1">
        <w:r w:rsidRPr="00680B0B">
          <w:rPr>
            <w:rStyle w:val="a5"/>
            <w:rFonts w:ascii="Times New Roman" w:hAnsi="Times New Roman"/>
            <w:b/>
            <w:bCs/>
            <w:i/>
            <w:iCs/>
            <w:sz w:val="24"/>
            <w:szCs w:val="24"/>
          </w:rPr>
          <w:t>www.educenter.ru</w:t>
        </w:r>
      </w:hyperlink>
    </w:p>
    <w:p w:rsidR="00315E54" w:rsidRPr="00680B0B" w:rsidRDefault="00315E54" w:rsidP="00184DFF">
      <w:pPr>
        <w:rPr>
          <w:rFonts w:ascii="Times New Roman" w:hAnsi="Times New Roman" w:cs="Times New Roman"/>
          <w:sz w:val="24"/>
          <w:szCs w:val="24"/>
        </w:rPr>
      </w:pPr>
    </w:p>
    <w:sectPr w:rsidR="00315E54" w:rsidRPr="00680B0B" w:rsidSect="00315E54">
      <w:footerReference w:type="default" r:id="rId13"/>
      <w:pgSz w:w="11906" w:h="16838"/>
      <w:pgMar w:top="851" w:right="992" w:bottom="993" w:left="85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E1F" w:rsidRDefault="00E24E1F" w:rsidP="008E0264">
      <w:r>
        <w:separator/>
      </w:r>
    </w:p>
  </w:endnote>
  <w:endnote w:type="continuationSeparator" w:id="0">
    <w:p w:rsidR="00E24E1F" w:rsidRDefault="00E24E1F" w:rsidP="008E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Calibri">
    <w:altName w:val="Times New Roman"/>
    <w:panose1 w:val="020F0502020204030204"/>
    <w:charset w:val="CC"/>
    <w:family w:val="swiss"/>
    <w:pitch w:val="variable"/>
    <w:sig w:usb0="E0002AFF" w:usb1="4000ACFF" w:usb2="00000001" w:usb3="00000000" w:csb0="000001FF" w:csb1="00000000"/>
  </w:font>
  <w:font w:name="Arial">
    <w:altName w:val=" Helvetica"/>
    <w:panose1 w:val="020B0604020202020204"/>
    <w:charset w:val="CC"/>
    <w:family w:val="swiss"/>
    <w:pitch w:val="variable"/>
    <w:sig w:usb0="20002A87" w:usb1="00000000" w:usb2="00000000"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PT 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5C8" w:rsidRDefault="00C735C8">
    <w:pPr>
      <w:pStyle w:val="a9"/>
    </w:pPr>
  </w:p>
  <w:p w:rsidR="008E0264" w:rsidRPr="00AA02F4" w:rsidRDefault="008E0264" w:rsidP="00870ECF">
    <w:pPr>
      <w:pStyle w:val="a9"/>
      <w:jc w:val="both"/>
      <w:rPr>
        <w:rFonts w:ascii="Times New Roman" w:hAnsi="Times New Roman"/>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E1F" w:rsidRDefault="00E24E1F" w:rsidP="008E0264">
      <w:r>
        <w:separator/>
      </w:r>
    </w:p>
  </w:footnote>
  <w:footnote w:type="continuationSeparator" w:id="0">
    <w:p w:rsidR="00E24E1F" w:rsidRDefault="00E24E1F" w:rsidP="008E0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4280B"/>
    <w:multiLevelType w:val="hybridMultilevel"/>
    <w:tmpl w:val="AF8C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F60CC"/>
    <w:multiLevelType w:val="hybridMultilevel"/>
    <w:tmpl w:val="980ED364"/>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0C80338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215E57"/>
    <w:multiLevelType w:val="hybridMultilevel"/>
    <w:tmpl w:val="DC2C12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27D5C"/>
    <w:multiLevelType w:val="hybridMultilevel"/>
    <w:tmpl w:val="75607480"/>
    <w:lvl w:ilvl="0" w:tplc="0409000F">
      <w:start w:val="1"/>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19161868"/>
    <w:multiLevelType w:val="hybridMultilevel"/>
    <w:tmpl w:val="DE2A9A5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5FE3311"/>
    <w:multiLevelType w:val="hybridMultilevel"/>
    <w:tmpl w:val="A5D453E0"/>
    <w:lvl w:ilvl="0" w:tplc="5030D534">
      <w:start w:val="1"/>
      <w:numFmt w:val="decimal"/>
      <w:lvlText w:val="%1."/>
      <w:lvlJc w:val="left"/>
      <w:pPr>
        <w:ind w:left="501" w:hanging="360"/>
      </w:pPr>
      <w:rPr>
        <w:rFonts w:cs="Times New Roman" w:hint="default"/>
        <w:i w:val="0"/>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7" w15:restartNumberingAfterBreak="0">
    <w:nsid w:val="2A623676"/>
    <w:multiLevelType w:val="hybridMultilevel"/>
    <w:tmpl w:val="3FC0F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915689"/>
    <w:multiLevelType w:val="hybridMultilevel"/>
    <w:tmpl w:val="11AAF55A"/>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15:restartNumberingAfterBreak="0">
    <w:nsid w:val="37B608EE"/>
    <w:multiLevelType w:val="hybridMultilevel"/>
    <w:tmpl w:val="62FCCE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9DD0E1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4400CC"/>
    <w:multiLevelType w:val="hybridMultilevel"/>
    <w:tmpl w:val="68064F24"/>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15:restartNumberingAfterBreak="0">
    <w:nsid w:val="499E7C85"/>
    <w:multiLevelType w:val="hybridMultilevel"/>
    <w:tmpl w:val="9B9A1246"/>
    <w:lvl w:ilvl="0" w:tplc="5030D534">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FD0258"/>
    <w:multiLevelType w:val="hybridMultilevel"/>
    <w:tmpl w:val="2228CF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DF44601"/>
    <w:multiLevelType w:val="hybridMultilevel"/>
    <w:tmpl w:val="57606E6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18E781D"/>
    <w:multiLevelType w:val="multilevel"/>
    <w:tmpl w:val="023CFD6A"/>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6" w15:restartNumberingAfterBreak="0">
    <w:nsid w:val="5E2B6276"/>
    <w:multiLevelType w:val="hybridMultilevel"/>
    <w:tmpl w:val="DC2C121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961AEA"/>
    <w:multiLevelType w:val="hybridMultilevel"/>
    <w:tmpl w:val="9CD2C5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2FF130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E93B28"/>
    <w:multiLevelType w:val="hybridMultilevel"/>
    <w:tmpl w:val="686432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94A0C91"/>
    <w:multiLevelType w:val="hybridMultilevel"/>
    <w:tmpl w:val="9B906ABA"/>
    <w:lvl w:ilvl="0" w:tplc="0C601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97621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D830C2C"/>
    <w:multiLevelType w:val="hybridMultilevel"/>
    <w:tmpl w:val="3C3ADAB2"/>
    <w:lvl w:ilvl="0" w:tplc="8CAAF3D4">
      <w:start w:val="1"/>
      <w:numFmt w:val="decimal"/>
      <w:lvlText w:val="%1."/>
      <w:lvlJc w:val="left"/>
      <w:pPr>
        <w:tabs>
          <w:tab w:val="num" w:pos="720"/>
        </w:tabs>
        <w:ind w:left="720" w:hanging="360"/>
      </w:pPr>
      <w:rPr>
        <w:rFonts w:ascii="Times New Roman" w:eastAsiaTheme="minorHAnsi" w:hAnsi="Times New Roman" w:cs="Times New Roman" w:hint="default"/>
      </w:rPr>
    </w:lvl>
    <w:lvl w:ilvl="1" w:tplc="BB949832" w:tentative="1">
      <w:start w:val="1"/>
      <w:numFmt w:val="bullet"/>
      <w:lvlText w:val="•"/>
      <w:lvlJc w:val="left"/>
      <w:pPr>
        <w:tabs>
          <w:tab w:val="num" w:pos="1440"/>
        </w:tabs>
        <w:ind w:left="1440" w:hanging="360"/>
      </w:pPr>
      <w:rPr>
        <w:rFonts w:ascii="Arial" w:hAnsi="Arial" w:hint="default"/>
      </w:rPr>
    </w:lvl>
    <w:lvl w:ilvl="2" w:tplc="58483796" w:tentative="1">
      <w:start w:val="1"/>
      <w:numFmt w:val="bullet"/>
      <w:lvlText w:val="•"/>
      <w:lvlJc w:val="left"/>
      <w:pPr>
        <w:tabs>
          <w:tab w:val="num" w:pos="2160"/>
        </w:tabs>
        <w:ind w:left="2160" w:hanging="360"/>
      </w:pPr>
      <w:rPr>
        <w:rFonts w:ascii="Arial" w:hAnsi="Arial" w:hint="default"/>
      </w:rPr>
    </w:lvl>
    <w:lvl w:ilvl="3" w:tplc="EB081FAC" w:tentative="1">
      <w:start w:val="1"/>
      <w:numFmt w:val="bullet"/>
      <w:lvlText w:val="•"/>
      <w:lvlJc w:val="left"/>
      <w:pPr>
        <w:tabs>
          <w:tab w:val="num" w:pos="2880"/>
        </w:tabs>
        <w:ind w:left="2880" w:hanging="360"/>
      </w:pPr>
      <w:rPr>
        <w:rFonts w:ascii="Arial" w:hAnsi="Arial" w:hint="default"/>
      </w:rPr>
    </w:lvl>
    <w:lvl w:ilvl="4" w:tplc="6A745DCC" w:tentative="1">
      <w:start w:val="1"/>
      <w:numFmt w:val="bullet"/>
      <w:lvlText w:val="•"/>
      <w:lvlJc w:val="left"/>
      <w:pPr>
        <w:tabs>
          <w:tab w:val="num" w:pos="3600"/>
        </w:tabs>
        <w:ind w:left="3600" w:hanging="360"/>
      </w:pPr>
      <w:rPr>
        <w:rFonts w:ascii="Arial" w:hAnsi="Arial" w:hint="default"/>
      </w:rPr>
    </w:lvl>
    <w:lvl w:ilvl="5" w:tplc="E24878D0" w:tentative="1">
      <w:start w:val="1"/>
      <w:numFmt w:val="bullet"/>
      <w:lvlText w:val="•"/>
      <w:lvlJc w:val="left"/>
      <w:pPr>
        <w:tabs>
          <w:tab w:val="num" w:pos="4320"/>
        </w:tabs>
        <w:ind w:left="4320" w:hanging="360"/>
      </w:pPr>
      <w:rPr>
        <w:rFonts w:ascii="Arial" w:hAnsi="Arial" w:hint="default"/>
      </w:rPr>
    </w:lvl>
    <w:lvl w:ilvl="6" w:tplc="4CB2C3B4" w:tentative="1">
      <w:start w:val="1"/>
      <w:numFmt w:val="bullet"/>
      <w:lvlText w:val="•"/>
      <w:lvlJc w:val="left"/>
      <w:pPr>
        <w:tabs>
          <w:tab w:val="num" w:pos="5040"/>
        </w:tabs>
        <w:ind w:left="5040" w:hanging="360"/>
      </w:pPr>
      <w:rPr>
        <w:rFonts w:ascii="Arial" w:hAnsi="Arial" w:hint="default"/>
      </w:rPr>
    </w:lvl>
    <w:lvl w:ilvl="7" w:tplc="614E7118" w:tentative="1">
      <w:start w:val="1"/>
      <w:numFmt w:val="bullet"/>
      <w:lvlText w:val="•"/>
      <w:lvlJc w:val="left"/>
      <w:pPr>
        <w:tabs>
          <w:tab w:val="num" w:pos="5760"/>
        </w:tabs>
        <w:ind w:left="5760" w:hanging="360"/>
      </w:pPr>
      <w:rPr>
        <w:rFonts w:ascii="Arial" w:hAnsi="Arial" w:hint="default"/>
      </w:rPr>
    </w:lvl>
    <w:lvl w:ilvl="8" w:tplc="0D68A99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81F133C"/>
    <w:multiLevelType w:val="hybridMultilevel"/>
    <w:tmpl w:val="D4F8CEB4"/>
    <w:lvl w:ilvl="0" w:tplc="4CA005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447795"/>
    <w:multiLevelType w:val="hybridMultilevel"/>
    <w:tmpl w:val="AA1C9BEC"/>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20"/>
  </w:num>
  <w:num w:numId="2">
    <w:abstractNumId w:val="5"/>
  </w:num>
  <w:num w:numId="3">
    <w:abstractNumId w:val="6"/>
  </w:num>
  <w:num w:numId="4">
    <w:abstractNumId w:val="24"/>
  </w:num>
  <w:num w:numId="5">
    <w:abstractNumId w:val="1"/>
  </w:num>
  <w:num w:numId="6">
    <w:abstractNumId w:val="11"/>
  </w:num>
  <w:num w:numId="7">
    <w:abstractNumId w:val="8"/>
  </w:num>
  <w:num w:numId="8">
    <w:abstractNumId w:val="19"/>
  </w:num>
  <w:num w:numId="9">
    <w:abstractNumId w:val="14"/>
  </w:num>
  <w:num w:numId="10">
    <w:abstractNumId w:val="9"/>
  </w:num>
  <w:num w:numId="11">
    <w:abstractNumId w:val="17"/>
  </w:num>
  <w:num w:numId="12">
    <w:abstractNumId w:val="13"/>
  </w:num>
  <w:num w:numId="13">
    <w:abstractNumId w:val="7"/>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23"/>
  </w:num>
  <w:num w:numId="21">
    <w:abstractNumId w:val="4"/>
  </w:num>
  <w:num w:numId="22">
    <w:abstractNumId w:val="3"/>
  </w:num>
  <w:num w:numId="23">
    <w:abstractNumId w:val="0"/>
  </w:num>
  <w:num w:numId="24">
    <w:abstractNumId w:val="16"/>
  </w:num>
  <w:num w:numId="25">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20"/>
  <w:doNotHyphenateCaps/>
  <w:displayHorizontalDrawingGridEvery w:val="0"/>
  <w:displayVerticalDrawingGridEvery w:val="0"/>
  <w:doNotUseMarginsForDrawingGridOrigin/>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986"/>
    <w:rsid w:val="00003CB0"/>
    <w:rsid w:val="00006726"/>
    <w:rsid w:val="0001029F"/>
    <w:rsid w:val="000111C2"/>
    <w:rsid w:val="000154B1"/>
    <w:rsid w:val="00017AE6"/>
    <w:rsid w:val="00020686"/>
    <w:rsid w:val="00024650"/>
    <w:rsid w:val="000363D8"/>
    <w:rsid w:val="00051E4D"/>
    <w:rsid w:val="000556AC"/>
    <w:rsid w:val="00056E80"/>
    <w:rsid w:val="00060024"/>
    <w:rsid w:val="00063D3B"/>
    <w:rsid w:val="00065986"/>
    <w:rsid w:val="00087F32"/>
    <w:rsid w:val="00097E2E"/>
    <w:rsid w:val="000A404B"/>
    <w:rsid w:val="000B125E"/>
    <w:rsid w:val="000D6E5A"/>
    <w:rsid w:val="000D7AE3"/>
    <w:rsid w:val="000E2724"/>
    <w:rsid w:val="000E73E0"/>
    <w:rsid w:val="00116A35"/>
    <w:rsid w:val="00121738"/>
    <w:rsid w:val="0012284E"/>
    <w:rsid w:val="0013026A"/>
    <w:rsid w:val="00140E09"/>
    <w:rsid w:val="00160948"/>
    <w:rsid w:val="0016694F"/>
    <w:rsid w:val="00167757"/>
    <w:rsid w:val="001702EE"/>
    <w:rsid w:val="001710E2"/>
    <w:rsid w:val="00175837"/>
    <w:rsid w:val="001760E2"/>
    <w:rsid w:val="001831F2"/>
    <w:rsid w:val="00184DFF"/>
    <w:rsid w:val="001854F5"/>
    <w:rsid w:val="001864C1"/>
    <w:rsid w:val="00191981"/>
    <w:rsid w:val="00195041"/>
    <w:rsid w:val="001975B2"/>
    <w:rsid w:val="001A43FE"/>
    <w:rsid w:val="001A4ACE"/>
    <w:rsid w:val="001A5DFC"/>
    <w:rsid w:val="001B0348"/>
    <w:rsid w:val="001B1C1F"/>
    <w:rsid w:val="001B268B"/>
    <w:rsid w:val="001C04DD"/>
    <w:rsid w:val="001C47F2"/>
    <w:rsid w:val="001D1C68"/>
    <w:rsid w:val="001D6A2F"/>
    <w:rsid w:val="001F11F5"/>
    <w:rsid w:val="001F7CDD"/>
    <w:rsid w:val="00205C95"/>
    <w:rsid w:val="00205F8B"/>
    <w:rsid w:val="0021262C"/>
    <w:rsid w:val="00213107"/>
    <w:rsid w:val="002265B7"/>
    <w:rsid w:val="00226C3B"/>
    <w:rsid w:val="00236601"/>
    <w:rsid w:val="0023676D"/>
    <w:rsid w:val="00241493"/>
    <w:rsid w:val="00261102"/>
    <w:rsid w:val="00263614"/>
    <w:rsid w:val="00265092"/>
    <w:rsid w:val="002729E0"/>
    <w:rsid w:val="00274EA5"/>
    <w:rsid w:val="002754FC"/>
    <w:rsid w:val="002817F2"/>
    <w:rsid w:val="0028226F"/>
    <w:rsid w:val="00287C2A"/>
    <w:rsid w:val="00290627"/>
    <w:rsid w:val="0029491C"/>
    <w:rsid w:val="0029564C"/>
    <w:rsid w:val="002A57D9"/>
    <w:rsid w:val="002C3291"/>
    <w:rsid w:val="002C5015"/>
    <w:rsid w:val="002C6FE5"/>
    <w:rsid w:val="002D1F8E"/>
    <w:rsid w:val="002D3A24"/>
    <w:rsid w:val="002D6EA4"/>
    <w:rsid w:val="002F273B"/>
    <w:rsid w:val="002F382C"/>
    <w:rsid w:val="002F49F6"/>
    <w:rsid w:val="002F4D00"/>
    <w:rsid w:val="002F7ECC"/>
    <w:rsid w:val="00302E2D"/>
    <w:rsid w:val="00303878"/>
    <w:rsid w:val="0030394D"/>
    <w:rsid w:val="003069CB"/>
    <w:rsid w:val="00313B6D"/>
    <w:rsid w:val="00315E54"/>
    <w:rsid w:val="00317F22"/>
    <w:rsid w:val="003238AE"/>
    <w:rsid w:val="00327196"/>
    <w:rsid w:val="00332ED1"/>
    <w:rsid w:val="003347EC"/>
    <w:rsid w:val="00335582"/>
    <w:rsid w:val="0033737F"/>
    <w:rsid w:val="00340F12"/>
    <w:rsid w:val="003477BA"/>
    <w:rsid w:val="00347B5B"/>
    <w:rsid w:val="0037203D"/>
    <w:rsid w:val="003743EC"/>
    <w:rsid w:val="003835D9"/>
    <w:rsid w:val="00390FEC"/>
    <w:rsid w:val="00397D85"/>
    <w:rsid w:val="003B4C7C"/>
    <w:rsid w:val="003B528F"/>
    <w:rsid w:val="003C053F"/>
    <w:rsid w:val="003C06BF"/>
    <w:rsid w:val="003C0B2B"/>
    <w:rsid w:val="003C29FC"/>
    <w:rsid w:val="003E379B"/>
    <w:rsid w:val="003F15CD"/>
    <w:rsid w:val="003F2D35"/>
    <w:rsid w:val="003F7F62"/>
    <w:rsid w:val="0040765C"/>
    <w:rsid w:val="004227FC"/>
    <w:rsid w:val="00426411"/>
    <w:rsid w:val="0042652C"/>
    <w:rsid w:val="00426A96"/>
    <w:rsid w:val="004308F2"/>
    <w:rsid w:val="00437AB8"/>
    <w:rsid w:val="0044087A"/>
    <w:rsid w:val="00444EAA"/>
    <w:rsid w:val="00454A9C"/>
    <w:rsid w:val="00466B74"/>
    <w:rsid w:val="00475437"/>
    <w:rsid w:val="00477AE7"/>
    <w:rsid w:val="0048471C"/>
    <w:rsid w:val="00493BB2"/>
    <w:rsid w:val="004A3E04"/>
    <w:rsid w:val="004A6DBC"/>
    <w:rsid w:val="004A7A77"/>
    <w:rsid w:val="004B48BA"/>
    <w:rsid w:val="004B7D1A"/>
    <w:rsid w:val="004C5AF2"/>
    <w:rsid w:val="004C65F3"/>
    <w:rsid w:val="004D7935"/>
    <w:rsid w:val="004F374F"/>
    <w:rsid w:val="004F4E42"/>
    <w:rsid w:val="004F5562"/>
    <w:rsid w:val="00501B32"/>
    <w:rsid w:val="0051712E"/>
    <w:rsid w:val="005214D5"/>
    <w:rsid w:val="005271DD"/>
    <w:rsid w:val="005300E4"/>
    <w:rsid w:val="005348A0"/>
    <w:rsid w:val="0053798D"/>
    <w:rsid w:val="00542839"/>
    <w:rsid w:val="005433BA"/>
    <w:rsid w:val="00557675"/>
    <w:rsid w:val="005647D7"/>
    <w:rsid w:val="00574094"/>
    <w:rsid w:val="005757B6"/>
    <w:rsid w:val="005862A1"/>
    <w:rsid w:val="00596FC2"/>
    <w:rsid w:val="005B29B1"/>
    <w:rsid w:val="005B451F"/>
    <w:rsid w:val="005C06BF"/>
    <w:rsid w:val="005C3B00"/>
    <w:rsid w:val="005C6B4F"/>
    <w:rsid w:val="005D1286"/>
    <w:rsid w:val="005D1350"/>
    <w:rsid w:val="005F4F71"/>
    <w:rsid w:val="0060401C"/>
    <w:rsid w:val="00620643"/>
    <w:rsid w:val="0063499F"/>
    <w:rsid w:val="00641CF7"/>
    <w:rsid w:val="00643C05"/>
    <w:rsid w:val="00650717"/>
    <w:rsid w:val="00653770"/>
    <w:rsid w:val="006539E5"/>
    <w:rsid w:val="00663E47"/>
    <w:rsid w:val="00664FD7"/>
    <w:rsid w:val="00677A14"/>
    <w:rsid w:val="00677DB6"/>
    <w:rsid w:val="00680B0B"/>
    <w:rsid w:val="00686AB2"/>
    <w:rsid w:val="00687193"/>
    <w:rsid w:val="00690996"/>
    <w:rsid w:val="00694D11"/>
    <w:rsid w:val="006951A2"/>
    <w:rsid w:val="006B0321"/>
    <w:rsid w:val="006C1AA7"/>
    <w:rsid w:val="006D669C"/>
    <w:rsid w:val="006D6D1C"/>
    <w:rsid w:val="006E305E"/>
    <w:rsid w:val="006F6F86"/>
    <w:rsid w:val="00700DA4"/>
    <w:rsid w:val="007010F0"/>
    <w:rsid w:val="0070165B"/>
    <w:rsid w:val="00702ED1"/>
    <w:rsid w:val="0071107B"/>
    <w:rsid w:val="007217DD"/>
    <w:rsid w:val="00724FEF"/>
    <w:rsid w:val="0073776D"/>
    <w:rsid w:val="0074087E"/>
    <w:rsid w:val="00740C49"/>
    <w:rsid w:val="00741E65"/>
    <w:rsid w:val="0074403B"/>
    <w:rsid w:val="00747532"/>
    <w:rsid w:val="0076012E"/>
    <w:rsid w:val="00763E65"/>
    <w:rsid w:val="007675AE"/>
    <w:rsid w:val="00770A6B"/>
    <w:rsid w:val="0077443D"/>
    <w:rsid w:val="00780E93"/>
    <w:rsid w:val="00781B7C"/>
    <w:rsid w:val="0078246B"/>
    <w:rsid w:val="007839B0"/>
    <w:rsid w:val="007861B4"/>
    <w:rsid w:val="00791766"/>
    <w:rsid w:val="0079417A"/>
    <w:rsid w:val="007B03BC"/>
    <w:rsid w:val="007C3CDF"/>
    <w:rsid w:val="007C46CB"/>
    <w:rsid w:val="007C5DA2"/>
    <w:rsid w:val="007C7CBE"/>
    <w:rsid w:val="007D0412"/>
    <w:rsid w:val="007D54D1"/>
    <w:rsid w:val="007E04E1"/>
    <w:rsid w:val="007E08DA"/>
    <w:rsid w:val="007E117C"/>
    <w:rsid w:val="007E6EA5"/>
    <w:rsid w:val="007F0201"/>
    <w:rsid w:val="008027C2"/>
    <w:rsid w:val="00810410"/>
    <w:rsid w:val="0081230A"/>
    <w:rsid w:val="00822EFC"/>
    <w:rsid w:val="00823537"/>
    <w:rsid w:val="00842D8B"/>
    <w:rsid w:val="00843820"/>
    <w:rsid w:val="0084668B"/>
    <w:rsid w:val="00861FF6"/>
    <w:rsid w:val="00862ECF"/>
    <w:rsid w:val="0086389E"/>
    <w:rsid w:val="0086697F"/>
    <w:rsid w:val="00870ECF"/>
    <w:rsid w:val="00881E4F"/>
    <w:rsid w:val="00884275"/>
    <w:rsid w:val="00887D22"/>
    <w:rsid w:val="00893861"/>
    <w:rsid w:val="008976D0"/>
    <w:rsid w:val="008A0BDC"/>
    <w:rsid w:val="008B4EB8"/>
    <w:rsid w:val="008D1E47"/>
    <w:rsid w:val="008D4C88"/>
    <w:rsid w:val="008D7BEE"/>
    <w:rsid w:val="008E0264"/>
    <w:rsid w:val="008E1AA4"/>
    <w:rsid w:val="008F58D1"/>
    <w:rsid w:val="00901656"/>
    <w:rsid w:val="00907B32"/>
    <w:rsid w:val="00912122"/>
    <w:rsid w:val="009140CF"/>
    <w:rsid w:val="009146C4"/>
    <w:rsid w:val="00933458"/>
    <w:rsid w:val="009562F0"/>
    <w:rsid w:val="00956955"/>
    <w:rsid w:val="00973CB3"/>
    <w:rsid w:val="00982D87"/>
    <w:rsid w:val="00995413"/>
    <w:rsid w:val="00995F41"/>
    <w:rsid w:val="009A7D05"/>
    <w:rsid w:val="009B037C"/>
    <w:rsid w:val="009C1A82"/>
    <w:rsid w:val="009D3D9D"/>
    <w:rsid w:val="009D4A77"/>
    <w:rsid w:val="009D5414"/>
    <w:rsid w:val="009D7F2D"/>
    <w:rsid w:val="009E0B95"/>
    <w:rsid w:val="009F47E2"/>
    <w:rsid w:val="00A0250B"/>
    <w:rsid w:val="00A04CF4"/>
    <w:rsid w:val="00A27983"/>
    <w:rsid w:val="00A30115"/>
    <w:rsid w:val="00A32516"/>
    <w:rsid w:val="00A41BE0"/>
    <w:rsid w:val="00A42047"/>
    <w:rsid w:val="00A42F57"/>
    <w:rsid w:val="00A54B15"/>
    <w:rsid w:val="00A61CE0"/>
    <w:rsid w:val="00A65152"/>
    <w:rsid w:val="00A822D9"/>
    <w:rsid w:val="00A82CAC"/>
    <w:rsid w:val="00A952F6"/>
    <w:rsid w:val="00AA02F4"/>
    <w:rsid w:val="00AA3C9D"/>
    <w:rsid w:val="00AC5767"/>
    <w:rsid w:val="00AC6637"/>
    <w:rsid w:val="00AD316C"/>
    <w:rsid w:val="00AD685D"/>
    <w:rsid w:val="00AD77DD"/>
    <w:rsid w:val="00AE0DFA"/>
    <w:rsid w:val="00AE21A0"/>
    <w:rsid w:val="00AF227D"/>
    <w:rsid w:val="00AF3714"/>
    <w:rsid w:val="00AF4440"/>
    <w:rsid w:val="00B01317"/>
    <w:rsid w:val="00B03C99"/>
    <w:rsid w:val="00B16253"/>
    <w:rsid w:val="00B214D6"/>
    <w:rsid w:val="00B27440"/>
    <w:rsid w:val="00B3010B"/>
    <w:rsid w:val="00B6018F"/>
    <w:rsid w:val="00B60496"/>
    <w:rsid w:val="00B64203"/>
    <w:rsid w:val="00B76ADB"/>
    <w:rsid w:val="00B773E3"/>
    <w:rsid w:val="00B80DD7"/>
    <w:rsid w:val="00B8350E"/>
    <w:rsid w:val="00B86DD5"/>
    <w:rsid w:val="00BA04D8"/>
    <w:rsid w:val="00BB4549"/>
    <w:rsid w:val="00BB5224"/>
    <w:rsid w:val="00BB6005"/>
    <w:rsid w:val="00BC1287"/>
    <w:rsid w:val="00BC618B"/>
    <w:rsid w:val="00BC63FC"/>
    <w:rsid w:val="00BC6A5C"/>
    <w:rsid w:val="00BC6B33"/>
    <w:rsid w:val="00BE0EC8"/>
    <w:rsid w:val="00BF7519"/>
    <w:rsid w:val="00C34019"/>
    <w:rsid w:val="00C406DC"/>
    <w:rsid w:val="00C4240F"/>
    <w:rsid w:val="00C5198B"/>
    <w:rsid w:val="00C57AEA"/>
    <w:rsid w:val="00C70730"/>
    <w:rsid w:val="00C73117"/>
    <w:rsid w:val="00C731D6"/>
    <w:rsid w:val="00C735C8"/>
    <w:rsid w:val="00C76BCA"/>
    <w:rsid w:val="00C9562F"/>
    <w:rsid w:val="00C96741"/>
    <w:rsid w:val="00CB01C1"/>
    <w:rsid w:val="00CB01CE"/>
    <w:rsid w:val="00CB1381"/>
    <w:rsid w:val="00CB393F"/>
    <w:rsid w:val="00CB46EA"/>
    <w:rsid w:val="00CC57EA"/>
    <w:rsid w:val="00CD1C52"/>
    <w:rsid w:val="00CD43CF"/>
    <w:rsid w:val="00CF0358"/>
    <w:rsid w:val="00CF31BD"/>
    <w:rsid w:val="00CF5272"/>
    <w:rsid w:val="00D0198B"/>
    <w:rsid w:val="00D02495"/>
    <w:rsid w:val="00D0677F"/>
    <w:rsid w:val="00D313DE"/>
    <w:rsid w:val="00D31BA8"/>
    <w:rsid w:val="00D325B8"/>
    <w:rsid w:val="00D47854"/>
    <w:rsid w:val="00D47B31"/>
    <w:rsid w:val="00D51919"/>
    <w:rsid w:val="00D56DFF"/>
    <w:rsid w:val="00D70565"/>
    <w:rsid w:val="00D814A7"/>
    <w:rsid w:val="00D8584A"/>
    <w:rsid w:val="00DB7C34"/>
    <w:rsid w:val="00DC14DB"/>
    <w:rsid w:val="00DC56B7"/>
    <w:rsid w:val="00DD07B5"/>
    <w:rsid w:val="00DD0E8C"/>
    <w:rsid w:val="00DD1BD7"/>
    <w:rsid w:val="00DD56A0"/>
    <w:rsid w:val="00DD7E92"/>
    <w:rsid w:val="00DE3BA2"/>
    <w:rsid w:val="00DE4D8E"/>
    <w:rsid w:val="00DE6A5F"/>
    <w:rsid w:val="00DF59D1"/>
    <w:rsid w:val="00DF7CD1"/>
    <w:rsid w:val="00E004A9"/>
    <w:rsid w:val="00E0656B"/>
    <w:rsid w:val="00E16204"/>
    <w:rsid w:val="00E24E1F"/>
    <w:rsid w:val="00E26909"/>
    <w:rsid w:val="00E2741E"/>
    <w:rsid w:val="00E31A41"/>
    <w:rsid w:val="00E511C9"/>
    <w:rsid w:val="00E529CC"/>
    <w:rsid w:val="00E5567D"/>
    <w:rsid w:val="00E55CF4"/>
    <w:rsid w:val="00E56666"/>
    <w:rsid w:val="00E610B9"/>
    <w:rsid w:val="00E72355"/>
    <w:rsid w:val="00E86FD4"/>
    <w:rsid w:val="00E9667C"/>
    <w:rsid w:val="00EA5F1E"/>
    <w:rsid w:val="00EB48B6"/>
    <w:rsid w:val="00EB5A4C"/>
    <w:rsid w:val="00EB6A6D"/>
    <w:rsid w:val="00EC1A38"/>
    <w:rsid w:val="00EC44E5"/>
    <w:rsid w:val="00EC471F"/>
    <w:rsid w:val="00EC7F90"/>
    <w:rsid w:val="00ED62C6"/>
    <w:rsid w:val="00EE4335"/>
    <w:rsid w:val="00EF1B81"/>
    <w:rsid w:val="00EF2300"/>
    <w:rsid w:val="00EF5B6D"/>
    <w:rsid w:val="00F133D0"/>
    <w:rsid w:val="00F148D8"/>
    <w:rsid w:val="00F25397"/>
    <w:rsid w:val="00F26974"/>
    <w:rsid w:val="00F26FF9"/>
    <w:rsid w:val="00F27EAC"/>
    <w:rsid w:val="00F319E5"/>
    <w:rsid w:val="00F33231"/>
    <w:rsid w:val="00F33B57"/>
    <w:rsid w:val="00F42E7B"/>
    <w:rsid w:val="00F43D38"/>
    <w:rsid w:val="00F50471"/>
    <w:rsid w:val="00F536A9"/>
    <w:rsid w:val="00F601B5"/>
    <w:rsid w:val="00F722D2"/>
    <w:rsid w:val="00F75296"/>
    <w:rsid w:val="00F7691E"/>
    <w:rsid w:val="00F83DB1"/>
    <w:rsid w:val="00F915A7"/>
    <w:rsid w:val="00F928DC"/>
    <w:rsid w:val="00FA74E6"/>
    <w:rsid w:val="00FB3D67"/>
    <w:rsid w:val="00FB4F17"/>
    <w:rsid w:val="00FC105C"/>
    <w:rsid w:val="00FC5493"/>
    <w:rsid w:val="00FD3099"/>
    <w:rsid w:val="00FD6580"/>
    <w:rsid w:val="00FF5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99747D"/>
  <w14:defaultImageDpi w14:val="0"/>
  <w15:docId w15:val="{4A98AA29-168D-42A1-8E3A-DCCB4576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jc w:val="both"/>
    </w:pPr>
    <w:rPr>
      <w:rFonts w:ascii="Arial" w:hAnsi="Arial" w:cs="Arial"/>
    </w:rPr>
  </w:style>
  <w:style w:type="paragraph" w:styleId="1">
    <w:name w:val="heading 1"/>
    <w:basedOn w:val="a"/>
    <w:next w:val="a"/>
    <w:link w:val="10"/>
    <w:uiPriority w:val="99"/>
    <w:qFormat/>
    <w:pPr>
      <w:keepNext/>
      <w:ind w:left="-840" w:right="-765"/>
      <w:jc w:val="center"/>
      <w:outlineLvl w:val="0"/>
    </w:pPr>
    <w:rPr>
      <w:b/>
      <w:bCs/>
      <w:i/>
      <w:iCs/>
      <w:sz w:val="24"/>
      <w:szCs w:val="24"/>
    </w:rPr>
  </w:style>
  <w:style w:type="paragraph" w:styleId="2">
    <w:name w:val="heading 2"/>
    <w:basedOn w:val="a"/>
    <w:next w:val="a"/>
    <w:link w:val="20"/>
    <w:uiPriority w:val="99"/>
    <w:qFormat/>
    <w:pPr>
      <w:keepNext/>
      <w:ind w:left="-840" w:right="-765"/>
      <w:jc w:val="center"/>
      <w:outlineLvl w:val="1"/>
    </w:pPr>
    <w:rPr>
      <w:b/>
      <w:bCs/>
      <w:i/>
      <w:iCs/>
      <w:sz w:val="28"/>
      <w:szCs w:val="28"/>
    </w:rPr>
  </w:style>
  <w:style w:type="paragraph" w:styleId="3">
    <w:name w:val="heading 3"/>
    <w:basedOn w:val="a"/>
    <w:next w:val="a"/>
    <w:link w:val="30"/>
    <w:uiPriority w:val="99"/>
    <w:qFormat/>
    <w:pPr>
      <w:keepNext/>
      <w:ind w:left="2157" w:right="-1050" w:hanging="2866"/>
      <w:jc w:val="left"/>
      <w:outlineLvl w:val="2"/>
    </w:pPr>
    <w:rPr>
      <w:sz w:val="24"/>
      <w:szCs w:val="24"/>
    </w:rPr>
  </w:style>
  <w:style w:type="paragraph" w:styleId="4">
    <w:name w:val="heading 4"/>
    <w:basedOn w:val="a"/>
    <w:next w:val="a"/>
    <w:link w:val="40"/>
    <w:uiPriority w:val="99"/>
    <w:qFormat/>
    <w:pPr>
      <w:keepNext/>
      <w:jc w:val="left"/>
      <w:outlineLvl w:val="3"/>
    </w:pPr>
    <w:rPr>
      <w:sz w:val="24"/>
      <w:szCs w:val="24"/>
    </w:rPr>
  </w:style>
  <w:style w:type="paragraph" w:styleId="5">
    <w:name w:val="heading 5"/>
    <w:basedOn w:val="a"/>
    <w:next w:val="a"/>
    <w:link w:val="50"/>
    <w:uiPriority w:val="99"/>
    <w:qFormat/>
    <w:pPr>
      <w:keepNext/>
      <w:ind w:left="-840" w:right="-765"/>
      <w:jc w:val="center"/>
      <w:outlineLvl w:val="4"/>
    </w:pPr>
    <w:rPr>
      <w:b/>
      <w:bCs/>
      <w:u w:val="single"/>
    </w:rPr>
  </w:style>
  <w:style w:type="paragraph" w:styleId="6">
    <w:name w:val="heading 6"/>
    <w:basedOn w:val="a"/>
    <w:next w:val="a"/>
    <w:link w:val="60"/>
    <w:uiPriority w:val="99"/>
    <w:qFormat/>
    <w:pPr>
      <w:keepNext/>
      <w:tabs>
        <w:tab w:val="left" w:pos="8364"/>
      </w:tabs>
      <w:ind w:left="-851" w:right="42"/>
      <w:outlineLvl w:val="5"/>
    </w:pPr>
    <w:rPr>
      <w:b/>
      <w:bCs/>
      <w:sz w:val="24"/>
      <w:szCs w:val="24"/>
    </w:rPr>
  </w:style>
  <w:style w:type="paragraph" w:styleId="7">
    <w:name w:val="heading 7"/>
    <w:basedOn w:val="a"/>
    <w:next w:val="a"/>
    <w:link w:val="70"/>
    <w:uiPriority w:val="99"/>
    <w:qFormat/>
    <w:pPr>
      <w:keepNext/>
      <w:ind w:left="-840" w:right="-765"/>
      <w:jc w:val="center"/>
      <w:outlineLvl w:val="6"/>
    </w:pPr>
    <w:rPr>
      <w:b/>
      <w:bCs/>
      <w:sz w:val="20"/>
      <w:szCs w:val="20"/>
      <w:u w:val="single"/>
    </w:rPr>
  </w:style>
  <w:style w:type="paragraph" w:styleId="8">
    <w:name w:val="heading 8"/>
    <w:basedOn w:val="a"/>
    <w:next w:val="a"/>
    <w:link w:val="80"/>
    <w:uiPriority w:val="99"/>
    <w:qFormat/>
    <w:pPr>
      <w:keepNext/>
      <w:ind w:firstLine="709"/>
      <w:jc w:val="left"/>
      <w:outlineLvl w:val="7"/>
    </w:pPr>
    <w:rPr>
      <w:b/>
      <w:bCs/>
    </w:rPr>
  </w:style>
  <w:style w:type="paragraph" w:styleId="9">
    <w:name w:val="heading 9"/>
    <w:basedOn w:val="a"/>
    <w:next w:val="a"/>
    <w:link w:val="90"/>
    <w:uiPriority w:val="99"/>
    <w:qFormat/>
    <w:pPr>
      <w:keepNext/>
      <w:jc w:val="center"/>
      <w:outlineLvl w:val="8"/>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Cambria"/>
      <w:b/>
      <w:bCs/>
      <w:kern w:val="32"/>
      <w:sz w:val="32"/>
      <w:szCs w:val="32"/>
    </w:rPr>
  </w:style>
  <w:style w:type="character" w:customStyle="1" w:styleId="20">
    <w:name w:val="Заголовок 2 Знак"/>
    <w:basedOn w:val="a0"/>
    <w:link w:val="2"/>
    <w:uiPriority w:val="99"/>
    <w:semiHidden/>
    <w:locked/>
    <w:rPr>
      <w:rFonts w:ascii="Cambria" w:hAnsi="Cambria" w:cs="Cambria"/>
      <w:b/>
      <w:bCs/>
      <w:i/>
      <w:iCs/>
      <w:sz w:val="28"/>
      <w:szCs w:val="28"/>
    </w:rPr>
  </w:style>
  <w:style w:type="character" w:customStyle="1" w:styleId="30">
    <w:name w:val="Заголовок 3 Знак"/>
    <w:basedOn w:val="a0"/>
    <w:link w:val="3"/>
    <w:uiPriority w:val="99"/>
    <w:semiHidden/>
    <w:locked/>
    <w:rPr>
      <w:rFonts w:ascii="Cambria" w:hAnsi="Cambria" w:cs="Cambria"/>
      <w:b/>
      <w:bCs/>
      <w:sz w:val="26"/>
      <w:szCs w:val="26"/>
    </w:rPr>
  </w:style>
  <w:style w:type="character" w:customStyle="1" w:styleId="40">
    <w:name w:val="Заголовок 4 Знак"/>
    <w:basedOn w:val="a0"/>
    <w:link w:val="4"/>
    <w:uiPriority w:val="99"/>
    <w:semiHidden/>
    <w:locked/>
    <w:rPr>
      <w:rFonts w:ascii="Calibri" w:hAnsi="Calibri" w:cs="Calibri"/>
      <w:b/>
      <w:bCs/>
      <w:sz w:val="28"/>
      <w:szCs w:val="28"/>
    </w:rPr>
  </w:style>
  <w:style w:type="character" w:customStyle="1" w:styleId="50">
    <w:name w:val="Заголовок 5 Знак"/>
    <w:basedOn w:val="a0"/>
    <w:link w:val="5"/>
    <w:uiPriority w:val="99"/>
    <w:semiHidden/>
    <w:locked/>
    <w:rPr>
      <w:rFonts w:ascii="Calibri" w:hAnsi="Calibri" w:cs="Calibri"/>
      <w:b/>
      <w:bCs/>
      <w:i/>
      <w:iCs/>
      <w:sz w:val="26"/>
      <w:szCs w:val="26"/>
    </w:rPr>
  </w:style>
  <w:style w:type="character" w:customStyle="1" w:styleId="60">
    <w:name w:val="Заголовок 6 Знак"/>
    <w:basedOn w:val="a0"/>
    <w:link w:val="6"/>
    <w:uiPriority w:val="99"/>
    <w:semiHidden/>
    <w:locked/>
    <w:rPr>
      <w:rFonts w:ascii="Calibri" w:hAnsi="Calibri" w:cs="Calibri"/>
      <w:b/>
      <w:bCs/>
    </w:rPr>
  </w:style>
  <w:style w:type="character" w:customStyle="1" w:styleId="70">
    <w:name w:val="Заголовок 7 Знак"/>
    <w:basedOn w:val="a0"/>
    <w:link w:val="7"/>
    <w:uiPriority w:val="99"/>
    <w:semiHidden/>
    <w:locked/>
    <w:rPr>
      <w:rFonts w:ascii="Calibri" w:hAnsi="Calibri" w:cs="Calibri"/>
      <w:sz w:val="24"/>
      <w:szCs w:val="24"/>
    </w:rPr>
  </w:style>
  <w:style w:type="character" w:customStyle="1" w:styleId="80">
    <w:name w:val="Заголовок 8 Знак"/>
    <w:basedOn w:val="a0"/>
    <w:link w:val="8"/>
    <w:uiPriority w:val="99"/>
    <w:semiHidden/>
    <w:locked/>
    <w:rPr>
      <w:rFonts w:ascii="Calibri" w:hAnsi="Calibri" w:cs="Calibri"/>
      <w:i/>
      <w:iCs/>
      <w:sz w:val="24"/>
      <w:szCs w:val="24"/>
    </w:rPr>
  </w:style>
  <w:style w:type="character" w:customStyle="1" w:styleId="90">
    <w:name w:val="Заголовок 9 Знак"/>
    <w:basedOn w:val="a0"/>
    <w:link w:val="9"/>
    <w:uiPriority w:val="99"/>
    <w:semiHidden/>
    <w:locked/>
    <w:rPr>
      <w:rFonts w:ascii="Cambria" w:hAnsi="Cambria" w:cs="Cambria"/>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semiHidden/>
    <w:locked/>
    <w:rPr>
      <w:rFonts w:ascii="Arial" w:hAnsi="Arial" w:cs="Arial"/>
    </w:rPr>
  </w:style>
  <w:style w:type="character" w:styleId="a5">
    <w:name w:val="Hyperlink"/>
    <w:basedOn w:val="a0"/>
    <w:uiPriority w:val="99"/>
    <w:rPr>
      <w:rFonts w:cs="Times New Roman"/>
      <w:color w:val="0000FF"/>
      <w:u w:val="single"/>
    </w:rPr>
  </w:style>
  <w:style w:type="paragraph" w:styleId="a6">
    <w:name w:val="Body Text"/>
    <w:basedOn w:val="a"/>
    <w:link w:val="a7"/>
    <w:uiPriority w:val="99"/>
    <w:pPr>
      <w:jc w:val="left"/>
    </w:pPr>
    <w:rPr>
      <w:sz w:val="26"/>
      <w:szCs w:val="26"/>
    </w:rPr>
  </w:style>
  <w:style w:type="character" w:customStyle="1" w:styleId="a7">
    <w:name w:val="Основной текст Знак"/>
    <w:basedOn w:val="a0"/>
    <w:link w:val="a6"/>
    <w:uiPriority w:val="99"/>
    <w:semiHidden/>
    <w:locked/>
    <w:rPr>
      <w:rFonts w:ascii="Arial" w:hAnsi="Arial" w:cs="Arial"/>
    </w:rPr>
  </w:style>
  <w:style w:type="paragraph" w:styleId="a8">
    <w:name w:val="Block Text"/>
    <w:basedOn w:val="a"/>
    <w:uiPriority w:val="99"/>
    <w:pPr>
      <w:ind w:left="-24" w:right="-765"/>
      <w:jc w:val="left"/>
    </w:pPr>
    <w:rPr>
      <w:b/>
      <w:bCs/>
      <w:sz w:val="24"/>
      <w:szCs w:val="24"/>
    </w:rPr>
  </w:style>
  <w:style w:type="paragraph" w:styleId="21">
    <w:name w:val="Body Text Indent 2"/>
    <w:basedOn w:val="a"/>
    <w:link w:val="22"/>
    <w:uiPriority w:val="99"/>
    <w:pPr>
      <w:autoSpaceDE w:val="0"/>
      <w:autoSpaceDN w:val="0"/>
      <w:ind w:right="46" w:firstLine="4"/>
    </w:pPr>
    <w:rPr>
      <w:sz w:val="24"/>
      <w:szCs w:val="24"/>
    </w:rPr>
  </w:style>
  <w:style w:type="character" w:customStyle="1" w:styleId="22">
    <w:name w:val="Основной текст с отступом 2 Знак"/>
    <w:basedOn w:val="a0"/>
    <w:link w:val="21"/>
    <w:uiPriority w:val="99"/>
    <w:semiHidden/>
    <w:locked/>
    <w:rPr>
      <w:rFonts w:ascii="Arial" w:hAnsi="Arial" w:cs="Arial"/>
    </w:rPr>
  </w:style>
  <w:style w:type="paragraph" w:styleId="23">
    <w:name w:val="Body Text 2"/>
    <w:basedOn w:val="a"/>
    <w:link w:val="24"/>
    <w:uiPriority w:val="99"/>
    <w:pPr>
      <w:jc w:val="left"/>
    </w:pPr>
    <w:rPr>
      <w:b/>
      <w:bCs/>
    </w:rPr>
  </w:style>
  <w:style w:type="character" w:customStyle="1" w:styleId="24">
    <w:name w:val="Основной текст 2 Знак"/>
    <w:basedOn w:val="a0"/>
    <w:link w:val="23"/>
    <w:uiPriority w:val="99"/>
    <w:semiHidden/>
    <w:locked/>
    <w:rPr>
      <w:rFonts w:ascii="Arial" w:hAnsi="Arial" w:cs="Arial"/>
    </w:rPr>
  </w:style>
  <w:style w:type="paragraph" w:styleId="a9">
    <w:name w:val="footer"/>
    <w:basedOn w:val="a"/>
    <w:link w:val="aa"/>
    <w:uiPriority w:val="99"/>
    <w:pPr>
      <w:tabs>
        <w:tab w:val="center" w:pos="4153"/>
        <w:tab w:val="right" w:pos="8306"/>
      </w:tabs>
      <w:jc w:val="left"/>
    </w:pPr>
    <w:rPr>
      <w:sz w:val="20"/>
      <w:szCs w:val="20"/>
    </w:rPr>
  </w:style>
  <w:style w:type="character" w:customStyle="1" w:styleId="aa">
    <w:name w:val="Нижний колонтитул Знак"/>
    <w:basedOn w:val="a0"/>
    <w:link w:val="a9"/>
    <w:uiPriority w:val="99"/>
    <w:locked/>
    <w:rPr>
      <w:rFonts w:ascii="Arial" w:hAnsi="Arial" w:cs="Arial"/>
    </w:rPr>
  </w:style>
  <w:style w:type="paragraph" w:styleId="31">
    <w:name w:val="Body Text Indent 3"/>
    <w:basedOn w:val="a"/>
    <w:link w:val="32"/>
    <w:uiPriority w:val="99"/>
    <w:pPr>
      <w:ind w:left="2268" w:hanging="2268"/>
    </w:pPr>
    <w:rPr>
      <w:sz w:val="20"/>
      <w:szCs w:val="20"/>
    </w:rPr>
  </w:style>
  <w:style w:type="character" w:customStyle="1" w:styleId="32">
    <w:name w:val="Основной текст с отступом 3 Знак"/>
    <w:basedOn w:val="a0"/>
    <w:link w:val="31"/>
    <w:uiPriority w:val="99"/>
    <w:semiHidden/>
    <w:locked/>
    <w:rPr>
      <w:rFonts w:ascii="Arial" w:hAnsi="Arial" w:cs="Arial"/>
      <w:sz w:val="16"/>
      <w:szCs w:val="16"/>
    </w:rPr>
  </w:style>
  <w:style w:type="paragraph" w:styleId="33">
    <w:name w:val="Body Text 3"/>
    <w:basedOn w:val="a"/>
    <w:link w:val="34"/>
    <w:uiPriority w:val="99"/>
    <w:pPr>
      <w:jc w:val="left"/>
    </w:pPr>
    <w:rPr>
      <w:b/>
      <w:bCs/>
      <w:sz w:val="20"/>
      <w:szCs w:val="20"/>
    </w:rPr>
  </w:style>
  <w:style w:type="character" w:customStyle="1" w:styleId="34">
    <w:name w:val="Основной текст 3 Знак"/>
    <w:basedOn w:val="a0"/>
    <w:link w:val="33"/>
    <w:uiPriority w:val="99"/>
    <w:semiHidden/>
    <w:locked/>
    <w:rPr>
      <w:rFonts w:ascii="Arial" w:hAnsi="Arial" w:cs="Arial"/>
      <w:sz w:val="16"/>
      <w:szCs w:val="16"/>
    </w:rPr>
  </w:style>
  <w:style w:type="character" w:customStyle="1" w:styleId="Normal">
    <w:name w:val="Normal Знак"/>
    <w:basedOn w:val="a0"/>
    <w:uiPriority w:val="99"/>
    <w:rPr>
      <w:rFonts w:ascii="Arial" w:hAnsi="Arial" w:cs="Arial"/>
      <w:sz w:val="22"/>
      <w:szCs w:val="22"/>
      <w:lang w:val="ru-RU" w:eastAsia="ru-RU"/>
    </w:rPr>
  </w:style>
  <w:style w:type="paragraph" w:styleId="ab">
    <w:name w:val="Balloon Text"/>
    <w:basedOn w:val="a"/>
    <w:link w:val="ac"/>
    <w:uiPriority w:val="99"/>
    <w:semiHidden/>
    <w:rPr>
      <w:rFonts w:ascii="Tahoma" w:hAnsi="Tahoma" w:cs="Tahoma"/>
      <w:sz w:val="16"/>
      <w:szCs w:val="16"/>
    </w:rPr>
  </w:style>
  <w:style w:type="character" w:customStyle="1" w:styleId="ac">
    <w:name w:val="Текст выноски Знак"/>
    <w:basedOn w:val="a0"/>
    <w:link w:val="ab"/>
    <w:uiPriority w:val="99"/>
    <w:semiHidden/>
    <w:locked/>
    <w:rPr>
      <w:rFonts w:ascii="Tahoma" w:hAnsi="Tahoma" w:cs="Tahoma"/>
      <w:sz w:val="16"/>
      <w:szCs w:val="16"/>
    </w:rPr>
  </w:style>
  <w:style w:type="paragraph" w:customStyle="1" w:styleId="text">
    <w:name w:val="text"/>
    <w:basedOn w:val="a"/>
    <w:uiPriority w:val="99"/>
    <w:rsid w:val="005C06BF"/>
    <w:pPr>
      <w:spacing w:before="100" w:beforeAutospacing="1" w:after="100" w:afterAutospacing="1"/>
      <w:jc w:val="left"/>
    </w:pPr>
    <w:rPr>
      <w:sz w:val="24"/>
      <w:szCs w:val="24"/>
    </w:rPr>
  </w:style>
  <w:style w:type="character" w:styleId="ad">
    <w:name w:val="Strong"/>
    <w:basedOn w:val="a0"/>
    <w:uiPriority w:val="99"/>
    <w:qFormat/>
    <w:rsid w:val="005C06BF"/>
    <w:rPr>
      <w:rFonts w:cs="Times New Roman"/>
      <w:b/>
      <w:bCs/>
    </w:rPr>
  </w:style>
  <w:style w:type="table" w:styleId="ae">
    <w:name w:val="Table Grid"/>
    <w:basedOn w:val="a1"/>
    <w:uiPriority w:val="99"/>
    <w:rsid w:val="00995F41"/>
    <w:pPr>
      <w:spacing w:after="0" w:line="240" w:lineRule="auto"/>
      <w:jc w:val="both"/>
    </w:pPr>
    <w:rPr>
      <w:rFonts w:ascii="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rsid w:val="0060401C"/>
    <w:pPr>
      <w:spacing w:before="100" w:beforeAutospacing="1" w:after="100" w:afterAutospacing="1"/>
      <w:jc w:val="left"/>
    </w:pPr>
    <w:rPr>
      <w:sz w:val="24"/>
      <w:szCs w:val="24"/>
    </w:rPr>
  </w:style>
  <w:style w:type="paragraph" w:customStyle="1" w:styleId="ConsPlusTitle">
    <w:name w:val="ConsPlusTitle"/>
    <w:uiPriority w:val="99"/>
    <w:rsid w:val="00EF5B6D"/>
    <w:pPr>
      <w:widowControl w:val="0"/>
      <w:autoSpaceDE w:val="0"/>
      <w:autoSpaceDN w:val="0"/>
      <w:adjustRightInd w:val="0"/>
      <w:spacing w:after="0" w:line="240" w:lineRule="auto"/>
    </w:pPr>
    <w:rPr>
      <w:rFonts w:ascii="Arial" w:hAnsi="Arial" w:cs="Arial"/>
      <w:b/>
      <w:bCs/>
      <w:sz w:val="24"/>
      <w:szCs w:val="24"/>
    </w:rPr>
  </w:style>
  <w:style w:type="paragraph" w:customStyle="1" w:styleId="CharCharCharChar">
    <w:name w:val="Char Char Знак Знак Char Char"/>
    <w:basedOn w:val="a"/>
    <w:uiPriority w:val="99"/>
    <w:rsid w:val="001A4ACE"/>
    <w:pPr>
      <w:tabs>
        <w:tab w:val="num" w:pos="360"/>
      </w:tabs>
      <w:spacing w:after="160" w:line="240" w:lineRule="exact"/>
      <w:jc w:val="left"/>
    </w:pPr>
    <w:rPr>
      <w:noProof/>
      <w:sz w:val="24"/>
      <w:szCs w:val="24"/>
      <w:lang w:val="en-US"/>
    </w:rPr>
  </w:style>
  <w:style w:type="paragraph" w:customStyle="1" w:styleId="af0">
    <w:name w:val="Знак Знак Знак Знак"/>
    <w:basedOn w:val="a"/>
    <w:uiPriority w:val="99"/>
    <w:rsid w:val="00F928DC"/>
    <w:pPr>
      <w:spacing w:after="160" w:line="240" w:lineRule="exact"/>
      <w:jc w:val="left"/>
    </w:pPr>
    <w:rPr>
      <w:rFonts w:ascii="Verdana" w:hAnsi="Verdana" w:cs="Verdana"/>
      <w:sz w:val="20"/>
      <w:szCs w:val="20"/>
      <w:lang w:val="en-US" w:eastAsia="en-US"/>
    </w:rPr>
  </w:style>
  <w:style w:type="paragraph" w:styleId="af1">
    <w:name w:val="List Paragraph"/>
    <w:basedOn w:val="a"/>
    <w:uiPriority w:val="34"/>
    <w:qFormat/>
    <w:rsid w:val="00A30115"/>
    <w:pPr>
      <w:ind w:left="720"/>
      <w:jc w:val="left"/>
    </w:pPr>
    <w:rPr>
      <w:rFonts w:ascii="Calibri" w:hAnsi="Calibri" w:cs="Calibri"/>
      <w:lang w:eastAsia="en-US"/>
    </w:rPr>
  </w:style>
  <w:style w:type="paragraph" w:styleId="af2">
    <w:name w:val="Plain Text"/>
    <w:basedOn w:val="a"/>
    <w:link w:val="af3"/>
    <w:uiPriority w:val="99"/>
    <w:unhideWhenUsed/>
    <w:locked/>
    <w:rsid w:val="00EB5A4C"/>
    <w:pPr>
      <w:jc w:val="left"/>
    </w:pPr>
    <w:rPr>
      <w:rFonts w:ascii="Calibri" w:hAnsi="Calibri" w:cs="Times New Roman"/>
      <w:szCs w:val="21"/>
      <w:lang w:eastAsia="en-US"/>
    </w:rPr>
  </w:style>
  <w:style w:type="character" w:customStyle="1" w:styleId="af3">
    <w:name w:val="Текст Знак"/>
    <w:basedOn w:val="a0"/>
    <w:link w:val="af2"/>
    <w:uiPriority w:val="99"/>
    <w:locked/>
    <w:rsid w:val="00EB5A4C"/>
    <w:rPr>
      <w:rFonts w:ascii="Calibri" w:hAnsi="Calibri" w:cs="Times New Roman"/>
      <w:sz w:val="21"/>
      <w:szCs w:val="21"/>
      <w:lang w:val="x-none" w:eastAsia="en-US"/>
    </w:rPr>
  </w:style>
  <w:style w:type="paragraph" w:customStyle="1" w:styleId="Default">
    <w:name w:val="Default"/>
    <w:rsid w:val="008E0264"/>
    <w:pPr>
      <w:autoSpaceDE w:val="0"/>
      <w:autoSpaceDN w:val="0"/>
      <w:adjustRightInd w:val="0"/>
      <w:spacing w:after="0" w:line="240" w:lineRule="auto"/>
    </w:pPr>
    <w:rPr>
      <w:color w:val="000000"/>
      <w:sz w:val="24"/>
      <w:szCs w:val="24"/>
      <w:lang w:eastAsia="en-US"/>
    </w:rPr>
  </w:style>
  <w:style w:type="paragraph" w:styleId="af4">
    <w:name w:val="footnote text"/>
    <w:basedOn w:val="a"/>
    <w:link w:val="af5"/>
    <w:uiPriority w:val="99"/>
    <w:semiHidden/>
    <w:unhideWhenUsed/>
    <w:locked/>
    <w:rsid w:val="00780E93"/>
    <w:pPr>
      <w:jc w:val="left"/>
    </w:pPr>
    <w:rPr>
      <w:rFonts w:ascii="Calibri" w:hAnsi="Calibri" w:cs="Times New Roman"/>
      <w:sz w:val="20"/>
      <w:szCs w:val="20"/>
      <w:lang w:eastAsia="en-US"/>
    </w:rPr>
  </w:style>
  <w:style w:type="character" w:customStyle="1" w:styleId="af5">
    <w:name w:val="Текст сноски Знак"/>
    <w:basedOn w:val="a0"/>
    <w:link w:val="af4"/>
    <w:uiPriority w:val="99"/>
    <w:semiHidden/>
    <w:locked/>
    <w:rsid w:val="00780E93"/>
    <w:rPr>
      <w:rFonts w:ascii="Calibri" w:hAnsi="Calibri" w:cs="Times New Roman"/>
      <w:sz w:val="20"/>
      <w:szCs w:val="20"/>
      <w:lang w:val="x-none" w:eastAsia="en-US"/>
    </w:rPr>
  </w:style>
  <w:style w:type="character" w:styleId="af6">
    <w:name w:val="footnote reference"/>
    <w:basedOn w:val="a0"/>
    <w:uiPriority w:val="99"/>
    <w:semiHidden/>
    <w:unhideWhenUsed/>
    <w:locked/>
    <w:rsid w:val="00780E93"/>
    <w:rPr>
      <w:rFonts w:cs="Times New Roman"/>
      <w:vertAlign w:val="superscript"/>
    </w:rPr>
  </w:style>
  <w:style w:type="paragraph" w:customStyle="1" w:styleId="TableParagraph">
    <w:name w:val="Table Paragraph"/>
    <w:basedOn w:val="a"/>
    <w:uiPriority w:val="1"/>
    <w:qFormat/>
    <w:rsid w:val="009D5414"/>
    <w:pPr>
      <w:widowControl w:val="0"/>
      <w:jc w:val="left"/>
    </w:pPr>
    <w:rPr>
      <w:rFonts w:ascii="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666816">
      <w:marLeft w:val="0"/>
      <w:marRight w:val="0"/>
      <w:marTop w:val="0"/>
      <w:marBottom w:val="0"/>
      <w:divBdr>
        <w:top w:val="none" w:sz="0" w:space="0" w:color="auto"/>
        <w:left w:val="none" w:sz="0" w:space="0" w:color="auto"/>
        <w:bottom w:val="none" w:sz="0" w:space="0" w:color="auto"/>
        <w:right w:val="none" w:sz="0" w:space="0" w:color="auto"/>
      </w:divBdr>
    </w:div>
    <w:div w:id="631666817">
      <w:marLeft w:val="0"/>
      <w:marRight w:val="0"/>
      <w:marTop w:val="0"/>
      <w:marBottom w:val="0"/>
      <w:divBdr>
        <w:top w:val="none" w:sz="0" w:space="0" w:color="auto"/>
        <w:left w:val="none" w:sz="0" w:space="0" w:color="auto"/>
        <w:bottom w:val="none" w:sz="0" w:space="0" w:color="auto"/>
        <w:right w:val="none" w:sz="0" w:space="0" w:color="auto"/>
      </w:divBdr>
    </w:div>
    <w:div w:id="631666818">
      <w:marLeft w:val="0"/>
      <w:marRight w:val="0"/>
      <w:marTop w:val="0"/>
      <w:marBottom w:val="0"/>
      <w:divBdr>
        <w:top w:val="none" w:sz="0" w:space="0" w:color="auto"/>
        <w:left w:val="none" w:sz="0" w:space="0" w:color="auto"/>
        <w:bottom w:val="none" w:sz="0" w:space="0" w:color="auto"/>
        <w:right w:val="none" w:sz="0" w:space="0" w:color="auto"/>
      </w:divBdr>
    </w:div>
    <w:div w:id="63166681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ducenter.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03131EE4B0735448A5DF4DFD49CE001" ma:contentTypeVersion="12" ma:contentTypeDescription="Создание документа." ma:contentTypeScope="" ma:versionID="1ef52b1798f550d3df6e449ff3449f1d">
  <xsd:schema xmlns:xsd="http://www.w3.org/2001/XMLSchema" xmlns:xs="http://www.w3.org/2001/XMLSchema" xmlns:p="http://schemas.microsoft.com/office/2006/metadata/properties" xmlns:ns2="d9be09d1-73ac-4abe-9f96-67b591cea837" xmlns:ns3="021b3a4c-6b31-432b-b48c-926cf6a6cafc" targetNamespace="http://schemas.microsoft.com/office/2006/metadata/properties" ma:root="true" ma:fieldsID="adb4565ae06059586479d90fe8045cbf" ns2:_="" ns3:_="">
    <xsd:import namespace="d9be09d1-73ac-4abe-9f96-67b591cea837"/>
    <xsd:import namespace="021b3a4c-6b31-432b-b48c-926cf6a6ca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e09d1-73ac-4abe-9f96-67b591cea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Теги изображений" ma:readOnly="false" ma:fieldId="{5cf76f15-5ced-4ddc-b409-7134ff3c332f}" ma:taxonomyMulti="true" ma:sspId="93a75a97-6b7a-4e33-a29a-43bc143ceb04"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1b3a4c-6b31-432b-b48c-926cf6a6ca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b82a1f-df78-4be0-800d-bea7771eda54}" ma:internalName="TaxCatchAll" ma:showField="CatchAllData" ma:web="021b3a4c-6b31-432b-b48c-926cf6a6c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1b3a4c-6b31-432b-b48c-926cf6a6cafc" xsi:nil="true"/>
    <lcf76f155ced4ddcb4097134ff3c332f xmlns="d9be09d1-73ac-4abe-9f96-67b591cea8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3B031-AACD-4041-8AD1-4D66FD039F4B}">
  <ds:schemaRefs>
    <ds:schemaRef ds:uri="http://schemas.microsoft.com/sharepoint/v3/contenttype/forms"/>
  </ds:schemaRefs>
</ds:datastoreItem>
</file>

<file path=customXml/itemProps2.xml><?xml version="1.0" encoding="utf-8"?>
<ds:datastoreItem xmlns:ds="http://schemas.openxmlformats.org/officeDocument/2006/customXml" ds:itemID="{84A4D696-27BA-40C2-AF5B-06C52C62E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e09d1-73ac-4abe-9f96-67b591cea837"/>
    <ds:schemaRef ds:uri="021b3a4c-6b31-432b-b48c-926cf6a6c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7B660D-9050-4625-8FD9-6E52AFCFBBB0}">
  <ds:schemaRefs>
    <ds:schemaRef ds:uri="http://schemas.microsoft.com/office/2006/metadata/properties"/>
    <ds:schemaRef ds:uri="http://schemas.microsoft.com/office/infopath/2007/PartnerControls"/>
    <ds:schemaRef ds:uri="021b3a4c-6b31-432b-b48c-926cf6a6cafc"/>
    <ds:schemaRef ds:uri="d9be09d1-73ac-4abe-9f96-67b591cea837"/>
  </ds:schemaRefs>
</ds:datastoreItem>
</file>

<file path=customXml/itemProps4.xml><?xml version="1.0" encoding="utf-8"?>
<ds:datastoreItem xmlns:ds="http://schemas.openxmlformats.org/officeDocument/2006/customXml" ds:itemID="{A1EBFEC6-8A54-40D9-AF46-B25108EA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1159</Words>
  <Characters>6608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Аккредитация при ФКЦБ России</vt:lpstr>
    </vt:vector>
  </TitlesOfParts>
  <Company>xxx</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Аккредитация при ФКЦБ России</dc:title>
  <dc:subject/>
  <dc:creator>Administrator</dc:creator>
  <cp:keywords/>
  <dc:description/>
  <cp:lastModifiedBy>Мария Иванова</cp:lastModifiedBy>
  <cp:revision>2</cp:revision>
  <cp:lastPrinted>2022-12-06T13:26:00Z</cp:lastPrinted>
  <dcterms:created xsi:type="dcterms:W3CDTF">2023-10-09T09:58:00Z</dcterms:created>
  <dcterms:modified xsi:type="dcterms:W3CDTF">2023-10-09T09:58:00Z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0x010100503131EE4B0735448A5DF4DFD49CE001</vt:lpwstr>
  </property>
  <property fmtid="{D5CDD505-2E9C-101B-9397-08002B2CF9AE}" pid="3" name="MediaServiceImageTags">
    <vt:lpwstr/>
  </property>
</Properties>
</file>