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8F" w:rsidRDefault="00702A8F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bookmarkStart w:id="0" w:name="0.1_graphic02"/>
      <w:bookmarkEnd w:id="0"/>
      <w:r w:rsidRPr="00702A8F">
        <w:rPr>
          <w:rFonts w:ascii="Times New Roman" w:hAnsi="Times New Roman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702A8F">
        <w:rPr>
          <w:rFonts w:ascii="Times New Roman" w:hAnsi="Times New Roman"/>
          <w:lang w:val="ru-RU" w:eastAsia="ru-RU"/>
        </w:rPr>
        <w:pict>
          <v:shape id="_x0000_i0" o:spid="_x0000_i1025" type="#_x0000_t75" style="width:467.55pt;height:47.1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702A8F" w:rsidRDefault="00702A8F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02A8F" w:rsidRDefault="00F233E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Программа повышения квалификации </w:t>
      </w:r>
    </w:p>
    <w:p w:rsidR="00702A8F" w:rsidRDefault="00F233E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«Цифровые финансовые активы (ЦФА): правовые и экономические аспекты»</w:t>
      </w:r>
    </w:p>
    <w:p w:rsidR="00702A8F" w:rsidRDefault="00702A8F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02A8F" w:rsidRDefault="00F233E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01 декабря – 14 декабря2026 года</w:t>
      </w:r>
    </w:p>
    <w:p w:rsidR="00702A8F" w:rsidRDefault="00F233E5">
      <w:pPr>
        <w:pStyle w:val="afb"/>
        <w:ind w:hanging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(онлайн–формат, 5 занятий по 4 ак.ч.)</w:t>
      </w:r>
    </w:p>
    <w:p w:rsidR="00702A8F" w:rsidRDefault="00702A8F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702A8F" w:rsidRDefault="00702A8F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МФЦ приглашает пройти</w:t>
      </w:r>
      <w:r w:rsidR="00E74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программе:</w:t>
      </w:r>
      <w:r w:rsidR="00E74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Цифровые финансовые активы (ЦФА): правовые и экономические аспекты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E74B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B29">
        <w:rPr>
          <w:rFonts w:ascii="Times New Roman" w:hAnsi="Times New Roman" w:cs="Times New Roman"/>
          <w:bCs/>
          <w:iCs/>
          <w:sz w:val="24"/>
          <w:szCs w:val="24"/>
        </w:rPr>
        <w:t>в период с 01 </w:t>
      </w:r>
      <w:r>
        <w:rPr>
          <w:rFonts w:ascii="Times New Roman" w:hAnsi="Times New Roman" w:cs="Times New Roman"/>
          <w:bCs/>
          <w:iCs/>
          <w:sz w:val="24"/>
          <w:szCs w:val="24"/>
        </w:rPr>
        <w:t>декабря по 14 декабря</w:t>
      </w:r>
      <w:bookmarkStart w:id="1" w:name="_GoBack"/>
      <w:bookmarkEnd w:id="1"/>
      <w:r>
        <w:rPr>
          <w:rFonts w:ascii="Times New Roman" w:hAnsi="Times New Roman" w:cs="Times New Roman"/>
          <w:bCs/>
          <w:iCs/>
          <w:sz w:val="24"/>
          <w:szCs w:val="24"/>
        </w:rPr>
        <w:t xml:space="preserve"> 2026 года </w:t>
      </w:r>
      <w:r>
        <w:rPr>
          <w:rFonts w:ascii="Times New Roman" w:hAnsi="Times New Roman" w:cs="Times New Roman"/>
          <w:sz w:val="24"/>
          <w:szCs w:val="24"/>
        </w:rPr>
        <w:t>(онлайн-формат, с 18.30 до 21.40 мск)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посвящена правовым, экономическим и организацио</w:t>
      </w:r>
      <w:r>
        <w:rPr>
          <w:rFonts w:ascii="Times New Roman" w:hAnsi="Times New Roman" w:cs="Times New Roman"/>
          <w:sz w:val="24"/>
          <w:szCs w:val="24"/>
        </w:rPr>
        <w:t>нным аспектам использования цифровых финансовых активов (ЦФА) в современной российской финансовой системе.</w:t>
      </w:r>
    </w:p>
    <w:p w:rsidR="00702A8F" w:rsidRDefault="00F233E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Актуальность и особенности программы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учитывает не только сложившуюся практику рынка ЦФА, но и масштабное обновление законодательства, связа</w:t>
      </w:r>
      <w:r>
        <w:rPr>
          <w:rFonts w:ascii="Times New Roman" w:hAnsi="Times New Roman" w:cs="Times New Roman"/>
          <w:sz w:val="24"/>
          <w:szCs w:val="24"/>
        </w:rPr>
        <w:t>нное со становлением и</w:t>
      </w:r>
      <w:r w:rsidR="00E74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развитием регулирования</w:t>
      </w:r>
      <w:r w:rsidR="00E74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цифровых валют, цифровых прав.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цифровизации финансовых рынков, развития новых форм привлечения и размещения капитала, а также изменения нормативной модели ЦФА становятся одним из значимых инструментов</w:t>
      </w:r>
      <w:r>
        <w:rPr>
          <w:rFonts w:ascii="Times New Roman" w:hAnsi="Times New Roman" w:cs="Times New Roman"/>
          <w:sz w:val="24"/>
          <w:szCs w:val="24"/>
        </w:rPr>
        <w:t xml:space="preserve"> структурирования имущественных прав и финансовых обязательств. Их использование требует понимания не только правовой природы ЦФА, но и экономического содержания, инфраструктуры рынка, порядка взаимодействия участников и практических последствий совершаемы</w:t>
      </w:r>
      <w:r>
        <w:rPr>
          <w:rFonts w:ascii="Times New Roman" w:hAnsi="Times New Roman" w:cs="Times New Roman"/>
          <w:sz w:val="24"/>
          <w:szCs w:val="24"/>
        </w:rPr>
        <w:t>х операций.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формирование у слушателей системного понимания природы цифровых финансовых активов, особенностей их правового регулирования, экономического содержания, инфраструктуры рынка, а также порядка выпуска, размещения, обраще</w:t>
      </w:r>
      <w:r>
        <w:rPr>
          <w:rFonts w:ascii="Times New Roman" w:hAnsi="Times New Roman" w:cs="Times New Roman"/>
          <w:sz w:val="24"/>
          <w:szCs w:val="24"/>
        </w:rPr>
        <w:t>ния, учёта и погашения ЦФА.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обучения рассматривают</w:t>
      </w:r>
      <w:r>
        <w:rPr>
          <w:rFonts w:ascii="Times New Roman" w:hAnsi="Times New Roman" w:cs="Times New Roman"/>
          <w:sz w:val="24"/>
          <w:szCs w:val="24"/>
        </w:rPr>
        <w:t xml:space="preserve">ся актуальная нормативная база, изменения законодательства, практика функционирования рынка цифровых финансовых активов, роль ключевых участников и инфраструктурных организаций, а также вопросы налогообложения, бухгалтерского учёта и соблюдения требований </w:t>
      </w:r>
      <w:r>
        <w:rPr>
          <w:rFonts w:ascii="Times New Roman" w:hAnsi="Times New Roman" w:cs="Times New Roman"/>
          <w:sz w:val="24"/>
          <w:szCs w:val="24"/>
        </w:rPr>
        <w:t>комплаенс-контроля.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нормативно-правовой анализ, рассмотрение экономических моделей использования цифровых финансовых активов и практические аспекты их применения. Особое внимание уделяется последовательному разбору жизненного цикла цифро</w:t>
      </w:r>
      <w:r>
        <w:rPr>
          <w:rFonts w:ascii="Times New Roman" w:hAnsi="Times New Roman" w:cs="Times New Roman"/>
          <w:sz w:val="24"/>
          <w:szCs w:val="24"/>
        </w:rPr>
        <w:t>вых финансовых активов от выбора модели и подготовки выпуска до размещения, обращения, совершения сделок, учёта прав, налоговых последствий и выполнения требований законодательства о противодействии легализации доходов.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Итоговое тестирование позволяет пров</w:t>
      </w:r>
      <w:r>
        <w:rPr>
          <w:rFonts w:ascii="Times New Roman" w:hAnsi="Times New Roman" w:cs="Times New Roman"/>
          <w:sz w:val="24"/>
          <w:szCs w:val="24"/>
        </w:rPr>
        <w:t>ерить степень усвоения материала и сформировать целостное представление о возможностях, ограничениях и рисках использования цифровых финансовых активов на практике.</w:t>
      </w: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Курс рассчитан</w:t>
      </w:r>
      <w:r w:rsidR="00E74B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специалистов, которым необходимо понимать правовой режим, экономическое с</w:t>
      </w:r>
      <w:r>
        <w:rPr>
          <w:rFonts w:ascii="Times New Roman" w:hAnsi="Times New Roman" w:cs="Times New Roman"/>
          <w:sz w:val="24"/>
          <w:szCs w:val="24"/>
        </w:rPr>
        <w:t>одержание и практический порядок использования цифровых финансовых активов в условиях обновления законодательства и развития инфраструктуры рынка ЦФА, в том числе: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сотрудников кредитных организаций и некредитных финансовых организаций, участвующих в разраб</w:t>
      </w:r>
      <w:r>
        <w:rPr>
          <w:rFonts w:ascii="Times New Roman" w:hAnsi="Times New Roman" w:cs="Times New Roman"/>
          <w:sz w:val="24"/>
          <w:szCs w:val="24"/>
        </w:rPr>
        <w:t>отке, оценке, сопровождении или контроле продуктов, связанных с цифровыми финансовыми активами;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специалистов юридических подразделений, осуществляющих правовое сопровождение выпусков ЦФА, инвестиционных продуктов, сделок с цифровыми правами, договорной раб</w:t>
      </w:r>
      <w:r>
        <w:rPr>
          <w:rFonts w:ascii="Times New Roman" w:hAnsi="Times New Roman" w:cs="Times New Roman"/>
          <w:sz w:val="24"/>
          <w:szCs w:val="24"/>
        </w:rPr>
        <w:t>оты и взаимодействия с инфраструктурными организациями;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сотрудников подразделений корпоративных финансов, инвестиционного анализа и продуктового развития, участвующих в оценке ЦФА как инструмента привлечения финансирования, структурирования имущественных п</w:t>
      </w:r>
      <w:r>
        <w:rPr>
          <w:rFonts w:ascii="Times New Roman" w:hAnsi="Times New Roman" w:cs="Times New Roman"/>
          <w:sz w:val="24"/>
          <w:szCs w:val="24"/>
        </w:rPr>
        <w:t>рав и формирования новых финансовых продуктов;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специалистовкомплаенс-подразделений, подразделений финансового мониторинга, внутреннего контроля и управления рисками, которым необходимо оценивать регуляторные, операционные и комплаенс-риски при выпуске, раз</w:t>
      </w:r>
      <w:r>
        <w:rPr>
          <w:rFonts w:ascii="Times New Roman" w:hAnsi="Times New Roman" w:cs="Times New Roman"/>
          <w:sz w:val="24"/>
          <w:szCs w:val="24"/>
        </w:rPr>
        <w:t>мещении, обращении и учёте ЦФА;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эмитентов и потенциальных эмитентов цифровых финансовых активов, планирующим использовать ЦФА для привлечения капитала, оформления денежных требований, корпоративных или иных имущественных прав;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сотрудников ин</w:t>
      </w:r>
      <w:r>
        <w:rPr>
          <w:rFonts w:ascii="Times New Roman" w:hAnsi="Times New Roman" w:cs="Times New Roman"/>
          <w:sz w:val="24"/>
          <w:szCs w:val="24"/>
        </w:rPr>
        <w:t>фраструктурных организаций финансового рынка, участвующих в размещении, учёте, обращении, сопровождении сделок и обеспечении функционирования рынка цифровых финансовых активов;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руководителей и лиц, принимающих управленческие решения в сфере внедрения цифровых финансовых инструментов, оценки новых бизнес-моделей и взаимодействия с участниками рынка ЦФА.</w:t>
      </w:r>
    </w:p>
    <w:p w:rsidR="00702A8F" w:rsidRDefault="00702A8F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02A8F" w:rsidRDefault="00F233E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результате обучения слушатели: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сформируют системное представление о цифровы</w:t>
      </w:r>
      <w:r>
        <w:rPr>
          <w:rFonts w:ascii="Times New Roman" w:hAnsi="Times New Roman" w:cs="Times New Roman"/>
          <w:sz w:val="24"/>
          <w:szCs w:val="24"/>
        </w:rPr>
        <w:t>х финансовых активах, их правовой природе, экономическом содержании и роли на финансовом рынке;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изучат актуальное регулирование ЦФА, включая изменения законодательства и особенности новой модели рынка;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разберутся в видах ЦФА, содержании удостоверяемых ими </w:t>
      </w:r>
      <w:r>
        <w:rPr>
          <w:rFonts w:ascii="Times New Roman" w:hAnsi="Times New Roman" w:cs="Times New Roman"/>
          <w:sz w:val="24"/>
          <w:szCs w:val="24"/>
        </w:rPr>
        <w:t>имущественных прав и отличиях от цифровой валюты, цифровых прав, ценных бумаг и иных финансовых инструментов;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освоят порядок выпуска, размещения, обращения, учёта и погашения цифровых финансовых активов;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 практическое понимание взаимодействия эмитен</w:t>
      </w:r>
      <w:r>
        <w:rPr>
          <w:rFonts w:ascii="Times New Roman" w:hAnsi="Times New Roman" w:cs="Times New Roman"/>
          <w:sz w:val="24"/>
          <w:szCs w:val="24"/>
        </w:rPr>
        <w:t>тов, инвесторов и инфраструктурных организаций при операциях с ЦФА;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смогут оценивать возможности использования ЦФА для привлечения финансирования, структурирования имущественных прав и создания инвестиционных продуктов;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изучат налоговые последствия операци</w:t>
      </w:r>
      <w:r>
        <w:rPr>
          <w:rFonts w:ascii="Times New Roman" w:hAnsi="Times New Roman" w:cs="Times New Roman"/>
          <w:sz w:val="24"/>
          <w:szCs w:val="24"/>
        </w:rPr>
        <w:t>й с ЦФА и основные подходы к документальному оформлению таких операций;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научатся выявлять правовые, регуляторные, операционные и комплаенс-риски при выпуске, обращении и учёте ЦФА;</w:t>
      </w:r>
    </w:p>
    <w:p w:rsidR="00702A8F" w:rsidRDefault="00F233E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смогут применять полученные знания при подготовке внутренних документов, со</w:t>
      </w:r>
      <w:r>
        <w:rPr>
          <w:rFonts w:ascii="Times New Roman" w:hAnsi="Times New Roman" w:cs="Times New Roman"/>
          <w:sz w:val="24"/>
          <w:szCs w:val="24"/>
        </w:rPr>
        <w:t>провождении сделок с ЦФА и принятии управленческих решений.</w:t>
      </w:r>
    </w:p>
    <w:p w:rsidR="00702A8F" w:rsidRDefault="00702A8F">
      <w:pPr>
        <w:pStyle w:val="afb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02A8F" w:rsidRDefault="00F233E5">
      <w:pPr>
        <w:pStyle w:val="afb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преподаватели:</w:t>
      </w:r>
    </w:p>
    <w:p w:rsidR="00702A8F" w:rsidRDefault="00F233E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Пигильдин Дмитрий Николаевич</w:t>
      </w:r>
      <w:r>
        <w:rPr>
          <w:rFonts w:ascii="Times New Roman" w:hAnsi="Times New Roman" w:cs="Times New Roman"/>
          <w:sz w:val="24"/>
          <w:szCs w:val="24"/>
        </w:rPr>
        <w:t>, ведущий преподаватель Института МФЦ по направлению «Цифровые активы, финансовые технологии и информационные системы», эксперт и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в сфере комплаенс и противодействия легализации доходов при операциях с цифровыми финансовыми активами и иными цифровыми активами. Обладает более чем 15-летним опытом работы в правоохранительных органах. Специализируется на мониторинге и расследовании опе</w:t>
      </w:r>
      <w:r>
        <w:rPr>
          <w:rFonts w:ascii="Times New Roman" w:hAnsi="Times New Roman" w:cs="Times New Roman"/>
          <w:sz w:val="24"/>
          <w:szCs w:val="24"/>
        </w:rPr>
        <w:t>раций с цифровыми активами, включая криптовалютные и иные цифровые финансовые инструменты, а также на выстраивании систем комплаенс-контроля и AML-процедур. Имеет опыт взаимодействия с участниками финансового рынка, государственными органами, международным</w:t>
      </w:r>
      <w:r>
        <w:rPr>
          <w:rFonts w:ascii="Times New Roman" w:hAnsi="Times New Roman" w:cs="Times New Roman"/>
          <w:sz w:val="24"/>
          <w:szCs w:val="24"/>
        </w:rPr>
        <w:t>и и частными структурами по вопросам комплаенс и финансового мониторинга операций с цифровыми финансовыми активами.</w:t>
      </w:r>
    </w:p>
    <w:p w:rsidR="00702A8F" w:rsidRDefault="00F233E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Смирнов Денис Сергеевич,</w:t>
      </w:r>
      <w:r>
        <w:rPr>
          <w:rFonts w:ascii="Times New Roman" w:hAnsi="Times New Roman" w:cs="Times New Roman"/>
          <w:sz w:val="24"/>
          <w:szCs w:val="24"/>
        </w:rPr>
        <w:t xml:space="preserve"> ведущий преподаватель Института МФЦ по направлению «Цифровые активы, финансовые технологии и информационные системы</w:t>
      </w:r>
      <w:r>
        <w:rPr>
          <w:rFonts w:ascii="Times New Roman" w:hAnsi="Times New Roman" w:cs="Times New Roman"/>
          <w:sz w:val="24"/>
          <w:szCs w:val="24"/>
        </w:rPr>
        <w:t xml:space="preserve">», исследователь </w:t>
      </w:r>
      <w:r>
        <w:rPr>
          <w:rFonts w:ascii="Times New Roman" w:hAnsi="Times New Roman" w:cs="Times New Roman"/>
          <w:sz w:val="24"/>
          <w:szCs w:val="24"/>
        </w:rPr>
        <w:lastRenderedPageBreak/>
        <w:t>блокчейн-технологий и специалист по DeFi, DAO и цифровым активам с опытом работы в индустрии более 10 лет. Консультант проектов по внедрению распределённых решений и развитию децентрализованных финансовых инструментов. Автор образовательны</w:t>
      </w:r>
      <w:r>
        <w:rPr>
          <w:rFonts w:ascii="Times New Roman" w:hAnsi="Times New Roman" w:cs="Times New Roman"/>
          <w:sz w:val="24"/>
          <w:szCs w:val="24"/>
        </w:rPr>
        <w:t>х программ и учебных курсов по криптовалютам и децентрализованным технологиям. Обладает опытом преподавания дисциплин в сфере цифровых активов и финансового комплаенса, в том числе для служащих Банка России.</w:t>
      </w:r>
    </w:p>
    <w:p w:rsidR="00702A8F" w:rsidRDefault="00F233E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Федотова Александра Михайловна,</w:t>
      </w:r>
      <w:r>
        <w:rPr>
          <w:rFonts w:ascii="Times New Roman" w:hAnsi="Times New Roman" w:cs="Times New Roman"/>
          <w:sz w:val="24"/>
          <w:szCs w:val="24"/>
        </w:rPr>
        <w:t xml:space="preserve"> преподаватель Ин</w:t>
      </w:r>
      <w:r>
        <w:rPr>
          <w:rFonts w:ascii="Times New Roman" w:hAnsi="Times New Roman" w:cs="Times New Roman"/>
          <w:sz w:val="24"/>
          <w:szCs w:val="24"/>
        </w:rPr>
        <w:t>ститута МФЦ по направлению «Цифровые активы, финансовые технологии и информационные системы», юрист практики цифрового и корпоративного права. Специализируется на правовом сопровождении проектов в сфере цифровых активов, токенизации и структурирования сдел</w:t>
      </w:r>
      <w:r>
        <w:rPr>
          <w:rFonts w:ascii="Times New Roman" w:hAnsi="Times New Roman" w:cs="Times New Roman"/>
          <w:sz w:val="24"/>
          <w:szCs w:val="24"/>
        </w:rPr>
        <w:t>ок в Fintech-секторе. Имеет опыт участия в деятельности рабочих групп по вопросам регулирования цифровых активов. Автор научных публикаций и спикер профильных конференций по цифровому праву и финансовым технологиям.</w:t>
      </w:r>
    </w:p>
    <w:p w:rsidR="00702A8F" w:rsidRDefault="00F233E5">
      <w:pPr>
        <w:ind w:left="284" w:firstLine="42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Эбергардт Семён Александрович,</w:t>
      </w:r>
      <w:r>
        <w:rPr>
          <w:rFonts w:ascii="Times New Roman" w:hAnsi="Times New Roman" w:cs="Times New Roman"/>
          <w:sz w:val="24"/>
          <w:szCs w:val="24"/>
        </w:rPr>
        <w:t xml:space="preserve"> преподава</w:t>
      </w:r>
      <w:r>
        <w:rPr>
          <w:rFonts w:ascii="Times New Roman" w:hAnsi="Times New Roman" w:cs="Times New Roman"/>
          <w:sz w:val="24"/>
          <w:szCs w:val="24"/>
        </w:rPr>
        <w:t>тель Института МФЦ по направлению «Цифровые активы, финансовые технологии и информационные системы», практикующий юрист в сфере правового регулирования цифровых активов. Имеет опыт участия в деятельности рабочих групп при государственных органах. Автор нау</w:t>
      </w:r>
      <w:r>
        <w:rPr>
          <w:rFonts w:ascii="Times New Roman" w:hAnsi="Times New Roman" w:cs="Times New Roman"/>
          <w:sz w:val="24"/>
          <w:szCs w:val="24"/>
        </w:rPr>
        <w:t>чных статей, разработчик образовательных программ и методических материалов по вопросам регулирования цифровых активов. Обладает практическим опытом правового сопровождения проектов в сфере цифровых активов и финансовых технологий.</w:t>
      </w:r>
    </w:p>
    <w:p w:rsidR="00702A8F" w:rsidRDefault="00F233E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Баратова Анна Исмаиловна</w:t>
      </w:r>
      <w:r>
        <w:rPr>
          <w:rFonts w:ascii="Times New Roman" w:hAnsi="Times New Roman" w:cs="Times New Roman"/>
          <w:sz w:val="24"/>
          <w:szCs w:val="24"/>
        </w:rPr>
        <w:t xml:space="preserve">, эксперт в области цифровых активов, преподаватель Института МФЦ. Руководитель группы правового сопровождения цифровых финансовых активов в крупном Банке. Более 14 лет специализируется на правовом сопровождении финансовых продуктов, включая корпоративное </w:t>
      </w:r>
      <w:r>
        <w:rPr>
          <w:rFonts w:ascii="Times New Roman" w:hAnsi="Times New Roman" w:cs="Times New Roman"/>
          <w:sz w:val="24"/>
          <w:szCs w:val="24"/>
        </w:rPr>
        <w:t>кредитование и торговое финансирование. Имеет опыт работы с международными проектами в сфере цифровых активов и криптовалют, в том числе по вопросам противодействия отмыванию доходов и финансированию терроризма (AML/CFT).</w:t>
      </w:r>
    </w:p>
    <w:p w:rsidR="00702A8F" w:rsidRDefault="00702A8F">
      <w:pPr>
        <w:pStyle w:val="afb"/>
        <w:spacing w:after="20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02A8F" w:rsidRDefault="00F233E5">
      <w:pPr>
        <w:pStyle w:val="af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702A8F" w:rsidRDefault="00F233E5">
      <w:pPr>
        <w:pStyle w:val="afb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(общая продолжительность — 21</w:t>
      </w:r>
      <w:r w:rsidR="00E74B2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академический час, 5 занятий)</w:t>
      </w:r>
    </w:p>
    <w:p w:rsidR="00702A8F" w:rsidRDefault="00702A8F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f8"/>
        <w:tblW w:w="10397" w:type="dxa"/>
        <w:tblInd w:w="137" w:type="dxa"/>
        <w:tblLook w:val="04A0"/>
      </w:tblPr>
      <w:tblGrid>
        <w:gridCol w:w="1325"/>
        <w:gridCol w:w="2263"/>
        <w:gridCol w:w="4368"/>
        <w:gridCol w:w="2441"/>
      </w:tblGrid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рынок в условиях цифровизации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702A8F" w:rsidRDefault="00702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цифровизации финансового рынка.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форм и способов фиксации имущественных прав по финансовым инструментам.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модели привлечения и размещения финансовых ресурсов.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Трансформация функций финансовых посредников и инфраструктурных организаций.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структуры транзакционных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издержек и распределения рисков на финансовом рынке.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Экономическая природа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содержание цифровых финансовых активов и цели их использования.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 как форма структурирования имущественных прав.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Механизмы привлечения финансирования с использованием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цифровых финансовых активов с традиционными финансовыми инструментами.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преи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мущества и ограничения использования цифровых финансовых активов.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3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Правовое регулирование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правового регулирования цифровых финансовых активов в Российской Федерации.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цифровых финансовых активов и их место в системе цифровых прав и объектов гражданских прав.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нормативные правовые акты, регулирующие выпуск, размещение, обращение, учёт и погашение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цифровых финансовы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активов с цифровой валютой, цифровыми правами, иностранными цифровыми правами, гибридными цифровыми правами, ценными бумагами и иными финансовыми инструментами.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Ограничения оборотоспособности цифровых финансовых активов, требования к защите инвесторов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Банка России по регулированию и надзору.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4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Реформа правового регулирования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Предпосылки реформы правового регулирования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Ключевые направления изменений в регулировании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уска, размещения, обращения, учёта и погашения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требований к условиям выпуска цифровых финансовых активов, раскрытию информации и защите прав инвесторов.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подходы к подтверждению прав владельцев цифровых финансовых активов и фиксации перехода прав.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Переходные положения реформы и их значение для ранее выпущенных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последствия изменений для эмитентов, инвесторов,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нфраструктурных организаций, внутренних документов и договорной работы с ЦФА.</w:t>
            </w:r>
          </w:p>
        </w:tc>
        <w:tc>
          <w:tcPr>
            <w:tcW w:w="2441" w:type="dxa"/>
            <w:noWrap/>
          </w:tcPr>
          <w:p w:rsidR="00702A8F" w:rsidRDefault="00702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Особенности отдельных видов цифровых финансовых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Классификация цифровых финансовых активов по характеру удостоверяемых имущественных прав.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Цифровые финансовые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удостоверяющие денежные требования.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права по эмиссионным ценным бумагам.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корпоративные права.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иные имущественные права.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6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Инфраструктура рынка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Инфраструктура рынка цифровых финансовых активов как система участников, правил учёта, технологических решений и механизмов совершения операций.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статус эмитентов, владельцев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инвесторов цифровых финансовых активов, их основные права, обязанности и ограничения участия в операциях с ЦФА.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инфраструктурных организаций при выпуске, размещении, учёте и обращении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цифрового депозитария, оператора информационной системы, организатора торговли, брокера и доверительного управляющего в обеспечении функционирования рынка ЦФА.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взаимодействия эмитента, инвесторов и инфраструктурных организаций на разных этапах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жизненного цикла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Банка России, требования к участникам инфраструктуры и основные операционные риски рынка цифровых финансовых активов.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7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цели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цифровых финансовых активов и выбор модели выпуска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эмитента к выпуску цифровых финансовых активов: организационные и правовые шаги.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решения о выпуске цифровых финансовых активов и ключевых параметров выпуска.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условий выпуска цифровых финансовых активов с учётом интересов инвесторов.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информации о выпуске цифровых финансовых активов в информационной системе.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эмитента с оператором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системы на этапах подготовки и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змещения цифровых финансовых активов.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8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Механизмы обращения цифровых финансовых активов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обращения цифровых финансовых активов в информационной системе.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виды сделок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перехода прав на цифровые финансовые активы.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Фиксация и подтверждение сделок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операторов обмена цифровых финансовых активов в обеспечении оборота.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и условия обращения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Квалифицированные инвесторы: возможности, условия и порядок признания.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9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Налогообложение и бухгалтерский учёт операций с цифровыми финансовыми активами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Налоговая квалификация цифровых финансовых активов для целей налогообложения.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бложение операций с цифровыми финансовыми активами у физических лиц.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Налогообложение операций с цифровыми финансовыми активами у организаций.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налога на добавленную стоимость при операциях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Подходы к бухгалтерском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учёту цифровых финансовых активов и операций с ними.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Документальное оформление операций и основные налоговые риски.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10 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Комплаенс-контроль при операциях с цифровыми финансовыми активами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законодательства о противодействии легализации доходов к операциям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участников рынка цифровых финансовых активов в сфере комплаенс-контроля.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Идентификация клиентов и выгодоприобретателей при операциях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операций с цифровыми финансовыми активами и выявление подозрительных операций.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уполномоченными государственными органами и представление информации.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комплаенс-риски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выпуске, обраще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и учёте цифровых финансовых активов.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702A8F">
        <w:tc>
          <w:tcPr>
            <w:tcW w:w="1325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Итоговая аттестация</w:t>
            </w:r>
          </w:p>
        </w:tc>
        <w:tc>
          <w:tcPr>
            <w:tcW w:w="2263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тестирование</w:t>
            </w:r>
          </w:p>
        </w:tc>
        <w:tc>
          <w:tcPr>
            <w:tcW w:w="4368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усвоения ключевых понятий и терминов в сфере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понимания правовой природы, видов и особенностей цифровых финансовых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порядка выпуска и обращения цифровых финансовых активов.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понимания налоговых и бухгалтерских аспектов операций с цифровыми финансовыми активами.</w:t>
            </w:r>
          </w:p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требований комплаенс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финансового мониторинга при операциях с цифровыми финансовыми активами.</w:t>
            </w:r>
          </w:p>
        </w:tc>
        <w:tc>
          <w:tcPr>
            <w:tcW w:w="2441" w:type="dxa"/>
            <w:noWrap/>
          </w:tcPr>
          <w:p w:rsidR="00702A8F" w:rsidRDefault="00F23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ак. час</w:t>
            </w:r>
          </w:p>
        </w:tc>
      </w:tr>
    </w:tbl>
    <w:p w:rsidR="00702A8F" w:rsidRDefault="00702A8F">
      <w:pPr>
        <w:rPr>
          <w:rFonts w:ascii="Times New Roman" w:hAnsi="Times New Roman"/>
          <w:sz w:val="24"/>
          <w:szCs w:val="24"/>
        </w:rPr>
      </w:pPr>
    </w:p>
    <w:p w:rsidR="00702A8F" w:rsidRDefault="00F23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завершившие обучение, получат удостоверение о повышении квалификации.</w:t>
      </w:r>
    </w:p>
    <w:p w:rsidR="00702A8F" w:rsidRDefault="00702A8F">
      <w:pPr>
        <w:rPr>
          <w:rFonts w:ascii="Times New Roman" w:hAnsi="Times New Roman"/>
          <w:sz w:val="24"/>
          <w:szCs w:val="24"/>
        </w:rPr>
      </w:pPr>
    </w:p>
    <w:p w:rsidR="00702A8F" w:rsidRDefault="00F23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обучения и расписание занятий</w:t>
      </w:r>
      <w:r>
        <w:rPr>
          <w:rFonts w:ascii="Times New Roman" w:hAnsi="Times New Roman" w:cs="Times New Roman"/>
          <w:sz w:val="24"/>
          <w:szCs w:val="24"/>
        </w:rPr>
        <w:t>. Курс проходит в онлайн-формате. Обучение проводится в вечернее время с 18.30 до 21.40 мск (с перерывом) по расписанию, с которым можно ознакомиться у куратора курса. Расписание занятий также может размещаться на сайте. Ссылка на трансляцию и (или) логин,</w:t>
      </w:r>
      <w:r>
        <w:rPr>
          <w:rFonts w:ascii="Times New Roman" w:hAnsi="Times New Roman" w:cs="Times New Roman"/>
          <w:sz w:val="24"/>
          <w:szCs w:val="24"/>
        </w:rPr>
        <w:t xml:space="preserve"> пароль заблаговременно направляются на электронную почту слушателя.</w:t>
      </w:r>
    </w:p>
    <w:p w:rsidR="00702A8F" w:rsidRDefault="00702A8F">
      <w:pPr>
        <w:ind w:right="-143"/>
        <w:rPr>
          <w:rFonts w:ascii="Times New Roman" w:hAnsi="Times New Roman" w:cs="Times New Roman"/>
          <w:b/>
          <w:sz w:val="24"/>
          <w:szCs w:val="24"/>
        </w:rPr>
      </w:pPr>
    </w:p>
    <w:p w:rsidR="00702A8F" w:rsidRDefault="00F233E5">
      <w:pPr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:rsidR="00702A8F" w:rsidRDefault="00702A8F">
      <w:pPr>
        <w:rPr>
          <w:rFonts w:ascii="Times New Roman" w:hAnsi="Times New Roman" w:cs="Times New Roman"/>
          <w:sz w:val="24"/>
          <w:szCs w:val="24"/>
        </w:rPr>
      </w:pPr>
    </w:p>
    <w:p w:rsidR="00702A8F" w:rsidRDefault="00F23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="00E74B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35 000 </w:t>
      </w:r>
      <w:r>
        <w:rPr>
          <w:rFonts w:ascii="Times New Roman" w:hAnsi="Times New Roman" w:cs="Times New Roman"/>
          <w:sz w:val="24"/>
          <w:szCs w:val="24"/>
        </w:rPr>
        <w:t>(тридцать пять тысяч) рублей за одного слушателя. Предоставляется скидка в размере 10%, начиная со второго слушателя от одной организации, а также клиентам (заказчикам) Института МФЦ, Учебного центра МФЦ.</w:t>
      </w:r>
    </w:p>
    <w:p w:rsidR="00702A8F" w:rsidRDefault="00702A8F">
      <w:pPr>
        <w:rPr>
          <w:rFonts w:ascii="Times New Roman" w:hAnsi="Times New Roman" w:cs="Times New Roman"/>
          <w:b/>
          <w:sz w:val="24"/>
          <w:szCs w:val="24"/>
        </w:rPr>
      </w:pPr>
    </w:p>
    <w:p w:rsidR="00702A8F" w:rsidRDefault="00F233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>. По вопросам участия в обучении</w:t>
      </w:r>
      <w:r>
        <w:rPr>
          <w:rFonts w:ascii="Times New Roman" w:hAnsi="Times New Roman" w:cs="Times New Roman"/>
          <w:sz w:val="24"/>
          <w:szCs w:val="24"/>
        </w:rPr>
        <w:t xml:space="preserve"> обращаться к Шуваевой Марии, </w:t>
      </w:r>
      <w:hyperlink r:id="rId12" w:tooltip="mailto:seminar2@educenter.ru" w:history="1"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0"/>
            <w:rFonts w:ascii="Times New Roman" w:hAnsi="Times New Roman"/>
            <w:sz w:val="24"/>
            <w:szCs w:val="24"/>
          </w:rPr>
          <w:t>2@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74B29"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="00E74B29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ooltip="mailto:seminar6@educenter.ru" w:history="1"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0"/>
            <w:rFonts w:ascii="Times New Roman" w:hAnsi="Times New Roman"/>
            <w:sz w:val="24"/>
            <w:szCs w:val="24"/>
          </w:rPr>
          <w:t>6@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. Тел. +7-49</w:t>
      </w:r>
      <w:r>
        <w:rPr>
          <w:rFonts w:ascii="Times New Roman" w:hAnsi="Times New Roman" w:cs="Times New Roman"/>
          <w:sz w:val="24"/>
          <w:szCs w:val="24"/>
        </w:rPr>
        <w:t xml:space="preserve">5-9212273, </w:t>
      </w:r>
      <w:r w:rsidR="00E74B2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сайт: </w:t>
      </w:r>
      <w:hyperlink r:id="rId14" w:tooltip="http://www.educenter.ru" w:history="1">
        <w:r>
          <w:rPr>
            <w:rStyle w:val="af0"/>
            <w:rFonts w:ascii="Times New Roman" w:hAnsi="Times New Roman"/>
            <w:sz w:val="24"/>
            <w:szCs w:val="24"/>
          </w:rPr>
          <w:t>www.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702A8F" w:rsidRDefault="00702A8F">
      <w:pPr>
        <w:rPr>
          <w:rFonts w:ascii="Times New Roman" w:hAnsi="Times New Roman"/>
          <w:sz w:val="24"/>
          <w:szCs w:val="24"/>
        </w:rPr>
      </w:pPr>
    </w:p>
    <w:p w:rsidR="00702A8F" w:rsidRDefault="00702A8F">
      <w:pPr>
        <w:ind w:firstLine="567"/>
        <w:rPr>
          <w:rFonts w:ascii="Times New Roman" w:hAnsi="Times New Roman"/>
          <w:sz w:val="24"/>
          <w:szCs w:val="24"/>
        </w:rPr>
      </w:pPr>
    </w:p>
    <w:sectPr w:rsidR="00702A8F" w:rsidSect="00702A8F">
      <w:footerReference w:type="default" r:id="rId15"/>
      <w:pgSz w:w="11906" w:h="16838"/>
      <w:pgMar w:top="851" w:right="992" w:bottom="993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3E5" w:rsidRDefault="00F233E5">
      <w:r>
        <w:separator/>
      </w:r>
    </w:p>
  </w:endnote>
  <w:endnote w:type="continuationSeparator" w:id="1">
    <w:p w:rsidR="00F233E5" w:rsidRDefault="00F23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A8F" w:rsidRDefault="00702A8F">
    <w:pPr>
      <w:pStyle w:val="14"/>
    </w:pPr>
  </w:p>
  <w:p w:rsidR="00702A8F" w:rsidRDefault="00702A8F">
    <w:pPr>
      <w:pStyle w:val="14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3E5" w:rsidRDefault="00F233E5">
      <w:r>
        <w:separator/>
      </w:r>
    </w:p>
  </w:footnote>
  <w:footnote w:type="continuationSeparator" w:id="1">
    <w:p w:rsidR="00F233E5" w:rsidRDefault="00F233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7FAD"/>
    <w:multiLevelType w:val="hybridMultilevel"/>
    <w:tmpl w:val="A31CFF9E"/>
    <w:lvl w:ilvl="0" w:tplc="EFA8B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E0E112">
      <w:start w:val="1"/>
      <w:numFmt w:val="lowerLetter"/>
      <w:lvlText w:val="%2."/>
      <w:lvlJc w:val="left"/>
      <w:pPr>
        <w:ind w:left="1440" w:hanging="360"/>
      </w:pPr>
    </w:lvl>
    <w:lvl w:ilvl="2" w:tplc="00E81032">
      <w:start w:val="1"/>
      <w:numFmt w:val="lowerRoman"/>
      <w:lvlText w:val="%3."/>
      <w:lvlJc w:val="right"/>
      <w:pPr>
        <w:ind w:left="2160" w:hanging="180"/>
      </w:pPr>
    </w:lvl>
    <w:lvl w:ilvl="3" w:tplc="9AE82F7A">
      <w:start w:val="1"/>
      <w:numFmt w:val="decimal"/>
      <w:lvlText w:val="%4."/>
      <w:lvlJc w:val="left"/>
      <w:pPr>
        <w:ind w:left="2880" w:hanging="360"/>
      </w:pPr>
    </w:lvl>
    <w:lvl w:ilvl="4" w:tplc="BE9AC7D2">
      <w:start w:val="1"/>
      <w:numFmt w:val="lowerLetter"/>
      <w:lvlText w:val="%5."/>
      <w:lvlJc w:val="left"/>
      <w:pPr>
        <w:ind w:left="3600" w:hanging="360"/>
      </w:pPr>
    </w:lvl>
    <w:lvl w:ilvl="5" w:tplc="4EBC1522">
      <w:start w:val="1"/>
      <w:numFmt w:val="lowerRoman"/>
      <w:lvlText w:val="%6."/>
      <w:lvlJc w:val="right"/>
      <w:pPr>
        <w:ind w:left="4320" w:hanging="180"/>
      </w:pPr>
    </w:lvl>
    <w:lvl w:ilvl="6" w:tplc="F956F412">
      <w:start w:val="1"/>
      <w:numFmt w:val="decimal"/>
      <w:lvlText w:val="%7."/>
      <w:lvlJc w:val="left"/>
      <w:pPr>
        <w:ind w:left="5040" w:hanging="360"/>
      </w:pPr>
    </w:lvl>
    <w:lvl w:ilvl="7" w:tplc="DE5C32AA">
      <w:start w:val="1"/>
      <w:numFmt w:val="lowerLetter"/>
      <w:lvlText w:val="%8."/>
      <w:lvlJc w:val="left"/>
      <w:pPr>
        <w:ind w:left="5760" w:hanging="360"/>
      </w:pPr>
    </w:lvl>
    <w:lvl w:ilvl="8" w:tplc="EF1CB27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13A6D"/>
    <w:multiLevelType w:val="hybridMultilevel"/>
    <w:tmpl w:val="4E905388"/>
    <w:lvl w:ilvl="0" w:tplc="1146EEF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9C4663C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A8D46A9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608A0F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70444C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694A61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46A96B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8DC97CE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4DA6594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E724F15"/>
    <w:multiLevelType w:val="hybridMultilevel"/>
    <w:tmpl w:val="60B2F96E"/>
    <w:lvl w:ilvl="0" w:tplc="9648E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14E880">
      <w:start w:val="1"/>
      <w:numFmt w:val="none"/>
      <w:lvlText w:val=""/>
      <w:lvlJc w:val="left"/>
      <w:pPr>
        <w:tabs>
          <w:tab w:val="num" w:pos="360"/>
        </w:tabs>
      </w:pPr>
    </w:lvl>
    <w:lvl w:ilvl="2" w:tplc="0666E0A6">
      <w:start w:val="1"/>
      <w:numFmt w:val="none"/>
      <w:lvlText w:val=""/>
      <w:lvlJc w:val="left"/>
      <w:pPr>
        <w:tabs>
          <w:tab w:val="num" w:pos="360"/>
        </w:tabs>
      </w:pPr>
    </w:lvl>
    <w:lvl w:ilvl="3" w:tplc="C25822C6">
      <w:start w:val="1"/>
      <w:numFmt w:val="none"/>
      <w:lvlText w:val=""/>
      <w:lvlJc w:val="left"/>
      <w:pPr>
        <w:tabs>
          <w:tab w:val="num" w:pos="360"/>
        </w:tabs>
      </w:pPr>
    </w:lvl>
    <w:lvl w:ilvl="4" w:tplc="47C4B0EA">
      <w:start w:val="1"/>
      <w:numFmt w:val="none"/>
      <w:lvlText w:val=""/>
      <w:lvlJc w:val="left"/>
      <w:pPr>
        <w:tabs>
          <w:tab w:val="num" w:pos="360"/>
        </w:tabs>
      </w:pPr>
    </w:lvl>
    <w:lvl w:ilvl="5" w:tplc="956E0692">
      <w:start w:val="1"/>
      <w:numFmt w:val="none"/>
      <w:lvlText w:val=""/>
      <w:lvlJc w:val="left"/>
      <w:pPr>
        <w:tabs>
          <w:tab w:val="num" w:pos="360"/>
        </w:tabs>
      </w:pPr>
    </w:lvl>
    <w:lvl w:ilvl="6" w:tplc="4FB41372">
      <w:start w:val="1"/>
      <w:numFmt w:val="none"/>
      <w:lvlText w:val=""/>
      <w:lvlJc w:val="left"/>
      <w:pPr>
        <w:tabs>
          <w:tab w:val="num" w:pos="360"/>
        </w:tabs>
      </w:pPr>
    </w:lvl>
    <w:lvl w:ilvl="7" w:tplc="4CACC110">
      <w:start w:val="1"/>
      <w:numFmt w:val="none"/>
      <w:lvlText w:val=""/>
      <w:lvlJc w:val="left"/>
      <w:pPr>
        <w:tabs>
          <w:tab w:val="num" w:pos="360"/>
        </w:tabs>
      </w:pPr>
    </w:lvl>
    <w:lvl w:ilvl="8" w:tplc="F7D0780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CB73EDD"/>
    <w:multiLevelType w:val="hybridMultilevel"/>
    <w:tmpl w:val="A9606A82"/>
    <w:lvl w:ilvl="0" w:tplc="76E833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F14DB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ACADC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E0483F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1CA94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31004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C3E24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A5085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A28F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8A12BF"/>
    <w:multiLevelType w:val="hybridMultilevel"/>
    <w:tmpl w:val="A6302A6E"/>
    <w:lvl w:ilvl="0" w:tplc="01683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6B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EEA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0E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25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EC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E27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88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CA3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046E6"/>
    <w:multiLevelType w:val="hybridMultilevel"/>
    <w:tmpl w:val="4F1C524C"/>
    <w:lvl w:ilvl="0" w:tplc="C1BC00DE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BBB4718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5D26D9D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790C256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749A8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4DC6248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216830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2DE446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7986658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27761C90"/>
    <w:multiLevelType w:val="hybridMultilevel"/>
    <w:tmpl w:val="FAE48F36"/>
    <w:lvl w:ilvl="0" w:tplc="9550B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6D2B0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F23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8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2BE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005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2A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CD9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EAE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84787"/>
    <w:multiLevelType w:val="hybridMultilevel"/>
    <w:tmpl w:val="AC00E9F4"/>
    <w:lvl w:ilvl="0" w:tplc="DCF42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F0DE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8C8A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43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EF0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E4A8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6A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6E7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2AD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E17C43"/>
    <w:multiLevelType w:val="hybridMultilevel"/>
    <w:tmpl w:val="DC22BE24"/>
    <w:lvl w:ilvl="0" w:tplc="0BE0E0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62CB75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60003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1EEFD7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D6F5A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AAC40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1BAD90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108DC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5F8D66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D2D2C78"/>
    <w:multiLevelType w:val="hybridMultilevel"/>
    <w:tmpl w:val="72FC8B92"/>
    <w:lvl w:ilvl="0" w:tplc="04B62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435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22E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41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C2CA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06D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8F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A68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1C5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803D0"/>
    <w:multiLevelType w:val="hybridMultilevel"/>
    <w:tmpl w:val="04906788"/>
    <w:lvl w:ilvl="0" w:tplc="3D903FD2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D922AAD4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6CA918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57478A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0424BCA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9ACCF28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0727E2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A9291A2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780236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4F176D0C"/>
    <w:multiLevelType w:val="hybridMultilevel"/>
    <w:tmpl w:val="64B881E8"/>
    <w:lvl w:ilvl="0" w:tplc="13FAB7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37AF42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B2E7DA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A1CBAB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6EE1D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D7826F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BFE0FC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FC61F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F16CA4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FDF5216"/>
    <w:multiLevelType w:val="hybridMultilevel"/>
    <w:tmpl w:val="98DE14E8"/>
    <w:lvl w:ilvl="0" w:tplc="62DE4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80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3C8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4E3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0A9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F0E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70C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28D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EA7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81AA6"/>
    <w:multiLevelType w:val="hybridMultilevel"/>
    <w:tmpl w:val="03E2602C"/>
    <w:lvl w:ilvl="0" w:tplc="CEC27ED2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CE8C5764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EF60DD50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C80048F8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D2CC88B6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DDC35F8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F9F0104A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2AFC8AFA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22E64846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582A0617"/>
    <w:multiLevelType w:val="hybridMultilevel"/>
    <w:tmpl w:val="B88E8D1E"/>
    <w:lvl w:ilvl="0" w:tplc="56BCFC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66A7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6B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8C5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81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541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43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4D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6CB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454233"/>
    <w:multiLevelType w:val="hybridMultilevel"/>
    <w:tmpl w:val="BA340D9C"/>
    <w:lvl w:ilvl="0" w:tplc="99561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F5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484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05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8C3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50A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5E8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EC40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9E9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EC3753"/>
    <w:multiLevelType w:val="hybridMultilevel"/>
    <w:tmpl w:val="54A0F6C8"/>
    <w:lvl w:ilvl="0" w:tplc="E4342C9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35D45CB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4BE68C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83C7D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6A600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7FC78A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B5237F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BD0352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2C861F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351402"/>
    <w:multiLevelType w:val="hybridMultilevel"/>
    <w:tmpl w:val="7B3AD314"/>
    <w:lvl w:ilvl="0" w:tplc="270439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B3A010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ECF7E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37ECF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9848B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126C52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982D5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AC020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1AC60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CDB62FC"/>
    <w:multiLevelType w:val="hybridMultilevel"/>
    <w:tmpl w:val="356AA0EE"/>
    <w:lvl w:ilvl="0" w:tplc="7CA2C90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720C94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64819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F9E349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E86C13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042B9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988785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13289A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59ED1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E7820E2"/>
    <w:multiLevelType w:val="hybridMultilevel"/>
    <w:tmpl w:val="7A2A1CF0"/>
    <w:lvl w:ilvl="0" w:tplc="93081DE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65F02BC0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C5E68D5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400EF4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A745A6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A2A05E7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9A4FA0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D94CBE0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C41CEEA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19"/>
  </w:num>
  <w:num w:numId="5">
    <w:abstractNumId w:val="1"/>
  </w:num>
  <w:num w:numId="6">
    <w:abstractNumId w:val="5"/>
  </w:num>
  <w:num w:numId="7">
    <w:abstractNumId w:val="10"/>
  </w:num>
  <w:num w:numId="8">
    <w:abstractNumId w:val="17"/>
  </w:num>
  <w:num w:numId="9">
    <w:abstractNumId w:val="18"/>
  </w:num>
  <w:num w:numId="10">
    <w:abstractNumId w:val="3"/>
  </w:num>
  <w:num w:numId="11">
    <w:abstractNumId w:val="8"/>
  </w:num>
  <w:num w:numId="12">
    <w:abstractNumId w:val="4"/>
  </w:num>
  <w:num w:numId="13">
    <w:abstractNumId w:val="0"/>
  </w:num>
  <w:num w:numId="14">
    <w:abstractNumId w:val="2"/>
  </w:num>
  <w:num w:numId="15">
    <w:abstractNumId w:val="15"/>
  </w:num>
  <w:num w:numId="16">
    <w:abstractNumId w:val="9"/>
  </w:num>
  <w:num w:numId="17">
    <w:abstractNumId w:val="6"/>
  </w:num>
  <w:num w:numId="18">
    <w:abstractNumId w:val="12"/>
  </w:num>
  <w:num w:numId="19">
    <w:abstractNumId w:val="7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A8F"/>
    <w:rsid w:val="00702A8F"/>
    <w:rsid w:val="00E74B29"/>
    <w:rsid w:val="00F23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A8F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02A8F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02A8F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02A8F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2A8F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2A8F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2A8F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2A8F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2A8F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2A8F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702A8F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702A8F"/>
    <w:rPr>
      <w:sz w:val="24"/>
      <w:szCs w:val="24"/>
    </w:rPr>
  </w:style>
  <w:style w:type="character" w:customStyle="1" w:styleId="QuoteChar">
    <w:name w:val="Quote Char"/>
    <w:link w:val="2"/>
    <w:uiPriority w:val="29"/>
    <w:rsid w:val="00702A8F"/>
    <w:rPr>
      <w:i/>
    </w:rPr>
  </w:style>
  <w:style w:type="character" w:customStyle="1" w:styleId="IntenseQuoteChar">
    <w:name w:val="Intense Quote Char"/>
    <w:link w:val="a5"/>
    <w:uiPriority w:val="30"/>
    <w:rsid w:val="00702A8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02A8F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"/>
    <w:link w:val="FooterChar"/>
    <w:uiPriority w:val="99"/>
    <w:unhideWhenUsed/>
    <w:rsid w:val="00702A8F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02A8F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702A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2A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link w:val="a6"/>
    <w:uiPriority w:val="99"/>
    <w:rsid w:val="00702A8F"/>
    <w:rPr>
      <w:sz w:val="20"/>
    </w:rPr>
  </w:style>
  <w:style w:type="character" w:customStyle="1" w:styleId="Heading1Char">
    <w:name w:val="Heading 1 Char"/>
    <w:basedOn w:val="a0"/>
    <w:link w:val="Heading1"/>
    <w:uiPriority w:val="9"/>
    <w:rsid w:val="00702A8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2A8F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702A8F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02A8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702A8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702A8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02A8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02A8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702A8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7">
    <w:name w:val="No Spacing"/>
    <w:uiPriority w:val="1"/>
    <w:qFormat/>
    <w:rsid w:val="00702A8F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702A8F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702A8F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702A8F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702A8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02A8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02A8F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702A8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702A8F"/>
    <w:rPr>
      <w:i/>
    </w:rPr>
  </w:style>
  <w:style w:type="character" w:customStyle="1" w:styleId="HeaderChar">
    <w:name w:val="Header Char"/>
    <w:basedOn w:val="a0"/>
    <w:link w:val="Header"/>
    <w:uiPriority w:val="99"/>
    <w:rsid w:val="00702A8F"/>
  </w:style>
  <w:style w:type="character" w:customStyle="1" w:styleId="FooterChar">
    <w:name w:val="Footer Char"/>
    <w:basedOn w:val="a0"/>
    <w:link w:val="Footer"/>
    <w:uiPriority w:val="99"/>
    <w:rsid w:val="00702A8F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702A8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702A8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02A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702A8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702A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2A8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2A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02A8F"/>
    <w:rPr>
      <w:sz w:val="18"/>
    </w:rPr>
  </w:style>
  <w:style w:type="paragraph" w:styleId="a6">
    <w:name w:val="endnote text"/>
    <w:basedOn w:val="a"/>
    <w:link w:val="ab"/>
    <w:uiPriority w:val="99"/>
    <w:semiHidden/>
    <w:unhideWhenUsed/>
    <w:rsid w:val="00702A8F"/>
    <w:rPr>
      <w:sz w:val="20"/>
    </w:rPr>
  </w:style>
  <w:style w:type="character" w:customStyle="1" w:styleId="ab">
    <w:name w:val="Текст концевой сноски Знак"/>
    <w:link w:val="a6"/>
    <w:uiPriority w:val="99"/>
    <w:rsid w:val="00702A8F"/>
    <w:rPr>
      <w:sz w:val="20"/>
    </w:rPr>
  </w:style>
  <w:style w:type="character" w:styleId="ac">
    <w:name w:val="endnote reference"/>
    <w:basedOn w:val="a0"/>
    <w:uiPriority w:val="99"/>
    <w:semiHidden/>
    <w:unhideWhenUsed/>
    <w:rsid w:val="00702A8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02A8F"/>
    <w:pPr>
      <w:spacing w:after="57"/>
    </w:pPr>
  </w:style>
  <w:style w:type="paragraph" w:styleId="22">
    <w:name w:val="toc 2"/>
    <w:basedOn w:val="a"/>
    <w:next w:val="a"/>
    <w:uiPriority w:val="39"/>
    <w:unhideWhenUsed/>
    <w:rsid w:val="00702A8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02A8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02A8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2A8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2A8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2A8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2A8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2A8F"/>
    <w:pPr>
      <w:spacing w:after="57"/>
      <w:ind w:left="2268"/>
    </w:pPr>
  </w:style>
  <w:style w:type="paragraph" w:styleId="ad">
    <w:name w:val="TOC Heading"/>
    <w:uiPriority w:val="39"/>
    <w:unhideWhenUsed/>
    <w:rsid w:val="00702A8F"/>
  </w:style>
  <w:style w:type="paragraph" w:styleId="ae">
    <w:name w:val="table of figures"/>
    <w:basedOn w:val="a"/>
    <w:next w:val="a"/>
    <w:uiPriority w:val="99"/>
    <w:unhideWhenUsed/>
    <w:rsid w:val="00702A8F"/>
  </w:style>
  <w:style w:type="paragraph" w:customStyle="1" w:styleId="110">
    <w:name w:val="Заголовок 11"/>
    <w:basedOn w:val="a"/>
    <w:next w:val="a"/>
    <w:link w:val="12"/>
    <w:uiPriority w:val="99"/>
    <w:qFormat/>
    <w:rsid w:val="00702A8F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702A8F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702A8F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702A8F"/>
    <w:pPr>
      <w:keepNext/>
      <w:jc w:val="left"/>
      <w:outlineLvl w:val="3"/>
    </w:pPr>
    <w:rPr>
      <w:sz w:val="24"/>
      <w:szCs w:val="24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702A8F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702A8F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71">
    <w:name w:val="Заголовок 71"/>
    <w:basedOn w:val="a"/>
    <w:next w:val="a"/>
    <w:link w:val="70"/>
    <w:uiPriority w:val="99"/>
    <w:qFormat/>
    <w:rsid w:val="00702A8F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81">
    <w:name w:val="Заголовок 81"/>
    <w:basedOn w:val="a"/>
    <w:next w:val="a"/>
    <w:link w:val="80"/>
    <w:uiPriority w:val="99"/>
    <w:qFormat/>
    <w:rsid w:val="00702A8F"/>
    <w:pPr>
      <w:keepNext/>
      <w:ind w:firstLine="709"/>
      <w:jc w:val="left"/>
      <w:outlineLvl w:val="7"/>
    </w:pPr>
    <w:rPr>
      <w:b/>
      <w:bCs/>
    </w:rPr>
  </w:style>
  <w:style w:type="paragraph" w:customStyle="1" w:styleId="91">
    <w:name w:val="Заголовок 91"/>
    <w:basedOn w:val="a"/>
    <w:next w:val="a"/>
    <w:link w:val="90"/>
    <w:uiPriority w:val="99"/>
    <w:qFormat/>
    <w:rsid w:val="00702A8F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2">
    <w:name w:val="Заголовок 1 Знак"/>
    <w:basedOn w:val="a0"/>
    <w:link w:val="110"/>
    <w:uiPriority w:val="99"/>
    <w:rsid w:val="00702A8F"/>
    <w:rPr>
      <w:rFonts w:ascii="Cambria" w:hAnsi="Cambria" w:cs="Cambria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semiHidden/>
    <w:rsid w:val="00702A8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0"/>
    <w:uiPriority w:val="99"/>
    <w:semiHidden/>
    <w:rsid w:val="00702A8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702A8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9"/>
    <w:semiHidden/>
    <w:rsid w:val="00702A8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1"/>
    <w:uiPriority w:val="99"/>
    <w:semiHidden/>
    <w:rsid w:val="00702A8F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1"/>
    <w:uiPriority w:val="99"/>
    <w:semiHidden/>
    <w:rsid w:val="00702A8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1"/>
    <w:uiPriority w:val="99"/>
    <w:semiHidden/>
    <w:rsid w:val="00702A8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1"/>
    <w:uiPriority w:val="99"/>
    <w:semiHidden/>
    <w:rsid w:val="00702A8F"/>
    <w:rPr>
      <w:rFonts w:ascii="Cambria" w:hAnsi="Cambria" w:cs="Cambria"/>
    </w:rPr>
  </w:style>
  <w:style w:type="paragraph" w:customStyle="1" w:styleId="13">
    <w:name w:val="Верхний колонтитул1"/>
    <w:basedOn w:val="a"/>
    <w:link w:val="af"/>
    <w:uiPriority w:val="99"/>
    <w:rsid w:val="00702A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13"/>
    <w:uiPriority w:val="99"/>
    <w:semiHidden/>
    <w:rsid w:val="00702A8F"/>
    <w:rPr>
      <w:rFonts w:ascii="Arial" w:hAnsi="Arial" w:cs="Arial"/>
    </w:rPr>
  </w:style>
  <w:style w:type="character" w:styleId="af0">
    <w:name w:val="Hyperlink"/>
    <w:basedOn w:val="a0"/>
    <w:uiPriority w:val="99"/>
    <w:rsid w:val="00702A8F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99"/>
    <w:rsid w:val="00702A8F"/>
    <w:pPr>
      <w:jc w:val="left"/>
    </w:pPr>
    <w:rPr>
      <w:sz w:val="26"/>
      <w:szCs w:val="26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702A8F"/>
    <w:rPr>
      <w:rFonts w:ascii="Arial" w:hAnsi="Arial" w:cs="Arial"/>
    </w:rPr>
  </w:style>
  <w:style w:type="paragraph" w:styleId="af3">
    <w:name w:val="Block Text"/>
    <w:basedOn w:val="a"/>
    <w:uiPriority w:val="99"/>
    <w:rsid w:val="00702A8F"/>
    <w:pPr>
      <w:ind w:left="-24" w:right="-765"/>
      <w:jc w:val="left"/>
    </w:pPr>
    <w:rPr>
      <w:b/>
      <w:bCs/>
      <w:sz w:val="24"/>
      <w:szCs w:val="24"/>
    </w:rPr>
  </w:style>
  <w:style w:type="paragraph" w:styleId="24">
    <w:name w:val="Body Text Indent 2"/>
    <w:basedOn w:val="a"/>
    <w:link w:val="25"/>
    <w:uiPriority w:val="99"/>
    <w:rsid w:val="00702A8F"/>
    <w:pPr>
      <w:ind w:right="46" w:firstLine="4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702A8F"/>
    <w:rPr>
      <w:rFonts w:ascii="Arial" w:hAnsi="Arial" w:cs="Arial"/>
    </w:rPr>
  </w:style>
  <w:style w:type="paragraph" w:styleId="26">
    <w:name w:val="Body Text 2"/>
    <w:basedOn w:val="a"/>
    <w:link w:val="27"/>
    <w:uiPriority w:val="99"/>
    <w:rsid w:val="00702A8F"/>
    <w:pPr>
      <w:jc w:val="left"/>
    </w:pPr>
    <w:rPr>
      <w:b/>
      <w:bCs/>
    </w:rPr>
  </w:style>
  <w:style w:type="character" w:customStyle="1" w:styleId="27">
    <w:name w:val="Основной текст 2 Знак"/>
    <w:basedOn w:val="a0"/>
    <w:link w:val="26"/>
    <w:uiPriority w:val="99"/>
    <w:semiHidden/>
    <w:rsid w:val="00702A8F"/>
    <w:rPr>
      <w:rFonts w:ascii="Arial" w:hAnsi="Arial" w:cs="Arial"/>
    </w:rPr>
  </w:style>
  <w:style w:type="paragraph" w:customStyle="1" w:styleId="14">
    <w:name w:val="Нижний колонтитул1"/>
    <w:basedOn w:val="a"/>
    <w:link w:val="af4"/>
    <w:uiPriority w:val="99"/>
    <w:rsid w:val="00702A8F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4">
    <w:name w:val="Нижний колонтитул Знак"/>
    <w:basedOn w:val="a0"/>
    <w:link w:val="14"/>
    <w:uiPriority w:val="99"/>
    <w:rsid w:val="00702A8F"/>
    <w:rPr>
      <w:rFonts w:ascii="Arial" w:hAnsi="Arial" w:cs="Arial"/>
    </w:rPr>
  </w:style>
  <w:style w:type="paragraph" w:styleId="32">
    <w:name w:val="Body Text Indent 3"/>
    <w:basedOn w:val="a"/>
    <w:link w:val="33"/>
    <w:uiPriority w:val="99"/>
    <w:rsid w:val="00702A8F"/>
    <w:pPr>
      <w:ind w:left="2268" w:hanging="2268"/>
    </w:pPr>
    <w:rPr>
      <w:sz w:val="20"/>
      <w:szCs w:val="20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2A8F"/>
    <w:rPr>
      <w:rFonts w:ascii="Arial" w:hAnsi="Arial" w:cs="Arial"/>
      <w:sz w:val="16"/>
      <w:szCs w:val="16"/>
    </w:rPr>
  </w:style>
  <w:style w:type="paragraph" w:styleId="34">
    <w:name w:val="Body Text 3"/>
    <w:basedOn w:val="a"/>
    <w:link w:val="35"/>
    <w:uiPriority w:val="99"/>
    <w:rsid w:val="00702A8F"/>
    <w:pPr>
      <w:jc w:val="left"/>
    </w:pPr>
    <w:rPr>
      <w:b/>
      <w:bCs/>
      <w:sz w:val="20"/>
      <w:szCs w:val="20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02A8F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702A8F"/>
    <w:rPr>
      <w:rFonts w:ascii="Arial" w:hAnsi="Arial" w:cs="Arial"/>
      <w:sz w:val="22"/>
      <w:szCs w:val="22"/>
      <w:lang w:val="ru-RU" w:eastAsia="ru-RU"/>
    </w:rPr>
  </w:style>
  <w:style w:type="paragraph" w:styleId="af5">
    <w:name w:val="Balloon Text"/>
    <w:basedOn w:val="a"/>
    <w:link w:val="af6"/>
    <w:uiPriority w:val="99"/>
    <w:semiHidden/>
    <w:rsid w:val="00702A8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02A8F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702A8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7">
    <w:name w:val="Strong"/>
    <w:basedOn w:val="a0"/>
    <w:uiPriority w:val="99"/>
    <w:qFormat/>
    <w:rsid w:val="00702A8F"/>
    <w:rPr>
      <w:rFonts w:cs="Times New Roman"/>
      <w:b/>
      <w:bCs/>
    </w:rPr>
  </w:style>
  <w:style w:type="table" w:styleId="af8">
    <w:name w:val="Table Grid"/>
    <w:basedOn w:val="a1"/>
    <w:uiPriority w:val="59"/>
    <w:rsid w:val="00702A8F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702A8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702A8F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702A8F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a">
    <w:name w:val="Знак Знак Знак Знак"/>
    <w:basedOn w:val="a"/>
    <w:uiPriority w:val="99"/>
    <w:rsid w:val="00702A8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702A8F"/>
    <w:pPr>
      <w:ind w:left="720"/>
      <w:jc w:val="left"/>
    </w:pPr>
    <w:rPr>
      <w:rFonts w:ascii="Calibri" w:hAnsi="Calibri" w:cs="Calibri"/>
      <w:lang w:eastAsia="en-US"/>
    </w:rPr>
  </w:style>
  <w:style w:type="paragraph" w:styleId="afc">
    <w:name w:val="Plain Text"/>
    <w:basedOn w:val="a"/>
    <w:link w:val="afd"/>
    <w:uiPriority w:val="99"/>
    <w:unhideWhenUsed/>
    <w:rsid w:val="00702A8F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rsid w:val="00702A8F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702A8F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e">
    <w:name w:val="footnote text"/>
    <w:basedOn w:val="a"/>
    <w:link w:val="aff"/>
    <w:uiPriority w:val="99"/>
    <w:semiHidden/>
    <w:unhideWhenUsed/>
    <w:rsid w:val="00702A8F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702A8F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702A8F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702A8F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styleId="aff1">
    <w:name w:val="FollowedHyperlink"/>
    <w:basedOn w:val="a0"/>
    <w:uiPriority w:val="99"/>
    <w:semiHidden/>
    <w:unhideWhenUsed/>
    <w:rsid w:val="00702A8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D00097-3D90-471C-AFED-035EC9C615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2429</Words>
  <Characters>13848</Characters>
  <Application>Microsoft Office Word</Application>
  <DocSecurity>0</DocSecurity>
  <Lines>115</Lines>
  <Paragraphs>32</Paragraphs>
  <ScaleCrop>false</ScaleCrop>
  <Company>xxx</Company>
  <LinksUpToDate>false</LinksUpToDate>
  <CharactersWithSpaces>16245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2026-10-01T14:01:00Z</dcterms:created>
  <dcterms:modified xsi:type="dcterms:W3CDTF">2026-10-02T08:16:00Z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