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37"/>
        <w:jc w:val="center"/>
        <w:rPr>
          <w:sz w:val="10"/>
          <w:szCs w:val="10"/>
        </w:rPr>
      </w:pPr>
      <w:r>
        <w:rPr>
          <w:lang w:val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16345" cy="718718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6416345" cy="7187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05.22pt;height:56.59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sz w:val="10"/>
          <w:szCs w:val="10"/>
        </w:rPr>
      </w:r>
      <w:r>
        <w:rPr>
          <w:sz w:val="10"/>
          <w:szCs w:val="10"/>
        </w:rPr>
      </w:r>
    </w:p>
    <w:tbl>
      <w:tblPr>
        <w:tblW w:w="0" w:type="auto"/>
        <w:tblInd w:w="108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4993"/>
        <w:gridCol w:w="5747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93" w:type="dxa"/>
            <w:vAlign w:val="top"/>
            <w:textDirection w:val="lrTb"/>
            <w:noWrap w:val="false"/>
          </w:tcPr>
          <w:p>
            <w:pPr>
              <w:pStyle w:val="637"/>
              <w:jc w:val="both"/>
              <w:rPr>
                <w:b/>
                <w:bCs/>
                <w:i/>
                <w:iCs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г. </w:t>
            </w:r>
            <w:r>
              <w:rPr>
                <w:sz w:val="19"/>
                <w:szCs w:val="19"/>
              </w:rPr>
              <w:t xml:space="preserve">Москва</w:t>
            </w:r>
            <w:r>
              <w:rPr>
                <w:b/>
                <w:bCs/>
                <w:i/>
                <w:iCs/>
                <w:sz w:val="19"/>
                <w:szCs w:val="19"/>
              </w:rPr>
            </w:r>
            <w:r>
              <w:rPr>
                <w:b/>
                <w:bCs/>
                <w:i/>
                <w:iCs/>
                <w:sz w:val="19"/>
                <w:szCs w:val="19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747" w:type="dxa"/>
            <w:vAlign w:val="top"/>
            <w:textDirection w:val="lrTb"/>
            <w:noWrap w:val="false"/>
          </w:tcPr>
          <w:p>
            <w:pPr>
              <w:pStyle w:val="637"/>
              <w:jc w:val="both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</w:r>
            <w:r>
              <w:rPr>
                <w:b/>
                <w:bCs/>
                <w:sz w:val="19"/>
                <w:szCs w:val="19"/>
              </w:rPr>
            </w:r>
          </w:p>
        </w:tc>
      </w:tr>
    </w:tbl>
    <w:p>
      <w:pPr>
        <w:pStyle w:val="637"/>
        <w:jc w:val="both"/>
        <w:spacing w:before="120"/>
        <w:rPr>
          <w:b/>
          <w:bCs/>
          <w:lang w:val="en-US"/>
        </w:rPr>
      </w:pPr>
      <w:r>
        <w:rPr>
          <w:b/>
          <w:bCs/>
        </w:rPr>
        <w:t xml:space="preserve">24 ноября – 10 декабря</w:t>
      </w:r>
      <w:r>
        <w:rPr>
          <w:b/>
          <w:bCs/>
        </w:rPr>
        <w:t xml:space="preserve"> 2026</w:t>
      </w:r>
      <w:r>
        <w:rPr>
          <w:b/>
          <w:bCs/>
        </w:rPr>
        <w:t xml:space="preserve"> </w:t>
      </w:r>
      <w:r>
        <w:rPr>
          <w:b/>
          <w:bCs/>
          <w:lang w:val="en-US"/>
        </w:rPr>
        <w:t xml:space="preserve">г.</w:t>
      </w:r>
      <w:r>
        <w:rPr>
          <w:b/>
          <w:bCs/>
          <w:lang w:val="en-US"/>
        </w:rPr>
      </w:r>
      <w:r>
        <w:rPr>
          <w:b/>
          <w:bCs/>
          <w:lang w:val="en-US"/>
        </w:rPr>
      </w:r>
    </w:p>
    <w:p>
      <w:pPr>
        <w:pStyle w:val="637"/>
        <w:jc w:val="both"/>
        <w:spacing w:before="120"/>
        <w:rPr>
          <w:b/>
          <w:bCs/>
        </w:rPr>
      </w:pPr>
      <w:r>
        <w:rPr>
          <w:b/>
          <w:bCs/>
        </w:rPr>
        <w:t xml:space="preserve">П</w:t>
      </w:r>
      <w:r>
        <w:rPr>
          <w:b/>
          <w:bCs/>
        </w:rPr>
        <w:t xml:space="preserve">овышени</w:t>
      </w:r>
      <w:r>
        <w:rPr>
          <w:b/>
          <w:bCs/>
        </w:rPr>
        <w:t xml:space="preserve">е</w:t>
      </w:r>
      <w:r>
        <w:rPr>
          <w:b/>
          <w:bCs/>
        </w:rPr>
        <w:t xml:space="preserve"> квалификации по теме</w:t>
      </w:r>
      <w:r>
        <w:rPr>
          <w:b/>
          <w:bCs/>
        </w:rPr>
      </w:r>
    </w:p>
    <w:p>
      <w:pPr>
        <w:pStyle w:val="637"/>
        <w:jc w:val="both"/>
        <w:rPr>
          <w:b/>
          <w:bCs/>
          <w:caps/>
          <w:sz w:val="19"/>
          <w:szCs w:val="22"/>
        </w:rPr>
      </w:pPr>
      <w:r>
        <w:rPr>
          <w:b/>
          <w:bCs/>
          <w:caps/>
          <w:sz w:val="19"/>
          <w:szCs w:val="22"/>
        </w:rPr>
        <w:t xml:space="preserve">«</w:t>
      </w:r>
      <w:r>
        <w:rPr>
          <w:b/>
          <w:bCs/>
        </w:rPr>
        <w:t xml:space="preserve">Б</w:t>
      </w:r>
      <w:r>
        <w:rPr>
          <w:b/>
          <w:bCs/>
        </w:rPr>
        <w:t xml:space="preserve">ухгалтерский учет и налогообложение операций с ценными бумагами. </w:t>
      </w:r>
      <w:r>
        <w:rPr>
          <w:b/>
          <w:bCs/>
        </w:rPr>
        <w:t xml:space="preserve">П</w:t>
      </w:r>
      <w:r>
        <w:rPr>
          <w:b/>
          <w:bCs/>
        </w:rPr>
        <w:t xml:space="preserve">одготовка финансовой отчетности и налоговых деклараций</w:t>
      </w:r>
      <w:r>
        <w:rPr>
          <w:b/>
          <w:bCs/>
          <w:caps/>
          <w:sz w:val="19"/>
          <w:szCs w:val="22"/>
        </w:rPr>
        <w:t xml:space="preserve">»</w:t>
      </w:r>
      <w:r>
        <w:rPr>
          <w:b/>
          <w:bCs/>
          <w:caps/>
          <w:sz w:val="19"/>
          <w:szCs w:val="22"/>
        </w:rPr>
      </w:r>
      <w:r>
        <w:rPr>
          <w:b/>
          <w:bCs/>
          <w:caps/>
          <w:sz w:val="19"/>
          <w:szCs w:val="22"/>
        </w:rPr>
      </w:r>
    </w:p>
    <w:p>
      <w:pPr>
        <w:pStyle w:val="637"/>
        <w:jc w:val="both"/>
        <w:rPr>
          <w:b/>
          <w:bCs/>
          <w:caps/>
          <w:sz w:val="19"/>
          <w:szCs w:val="22"/>
        </w:rPr>
      </w:pPr>
      <w:r>
        <w:rPr>
          <w:b/>
          <w:bCs/>
          <w:caps/>
          <w:sz w:val="19"/>
          <w:szCs w:val="22"/>
        </w:rPr>
      </w:r>
      <w:r>
        <w:rPr>
          <w:b/>
          <w:bCs/>
          <w:caps/>
          <w:sz w:val="19"/>
          <w:szCs w:val="22"/>
        </w:rPr>
      </w:r>
    </w:p>
    <w:p>
      <w:pPr>
        <w:pStyle w:val="63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Институт МФЦ предлагает рассмотреть предложение по повышению квалификации сотрудников организаций, в чьи функции входит совершение сделок и бухгалтерский учет сделок с финансовыми инструментами (ценными бумагами и производными финансовыми инструментами).</w:t>
      </w:r>
      <w:r>
        <w:rPr>
          <w:sz w:val="20"/>
          <w:szCs w:val="20"/>
        </w:rPr>
      </w:r>
    </w:p>
    <w:p>
      <w:pPr>
        <w:pStyle w:val="637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Описание курса: </w:t>
      </w:r>
      <w:r>
        <w:rPr>
          <w:sz w:val="20"/>
          <w:szCs w:val="20"/>
        </w:rPr>
        <w:t xml:space="preserve">Учет операций с ценными бумагами является наиболее трудоемким, что объясняется многообразием операций на фондовом рынке с бумагами разных видов. Методика у</w:t>
      </w:r>
      <w:r>
        <w:rPr>
          <w:sz w:val="20"/>
          <w:szCs w:val="20"/>
        </w:rPr>
        <w:t xml:space="preserve">чета ценных бумаг зависит от статуса их эмитента – государственные, негосударственные (корпоративные) ценные бумаги, от квалификации обращения самих бумаг (обращающихся и не обращающихся на организованном рынке ценных бумаг), от цели их приобретения (кратк</w:t>
      </w:r>
      <w:r>
        <w:rPr>
          <w:sz w:val="20"/>
          <w:szCs w:val="20"/>
        </w:rPr>
        <w:t xml:space="preserve">осрочные вложения, долгосрочные вложения). Однако, для профессионалов и тех, кто стремится ими стать, сложная задача вызывает еще большее желание ее познать и решить. Курс освещают вопросы инфраструктуры фондового рынка, предметы договоров при обращении на</w:t>
      </w:r>
      <w:r>
        <w:rPr>
          <w:sz w:val="20"/>
          <w:szCs w:val="20"/>
        </w:rPr>
        <w:t xml:space="preserve"> рынке ценных бумаг, подробно рассматриваются виды ценных бумаг, способы их обращения и операции, совершаемые с финансовыми вложениями. Курс включает вопросы налогообложения операций с ценными бумагами, производными финансовыми инструментами и сделок РЕПО.</w:t>
      </w:r>
      <w:r>
        <w:rPr>
          <w:sz w:val="20"/>
          <w:szCs w:val="20"/>
        </w:rPr>
      </w:r>
    </w:p>
    <w:p>
      <w:pPr>
        <w:pStyle w:val="637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Количество часов: </w:t>
      </w:r>
      <w:r>
        <w:rPr>
          <w:sz w:val="20"/>
          <w:szCs w:val="20"/>
        </w:rPr>
        <w:t xml:space="preserve">3</w:t>
      </w:r>
      <w:r>
        <w:rPr>
          <w:sz w:val="20"/>
          <w:szCs w:val="20"/>
        </w:rPr>
        <w:t xml:space="preserve">6</w:t>
      </w:r>
      <w:r>
        <w:rPr>
          <w:sz w:val="20"/>
          <w:szCs w:val="20"/>
        </w:rPr>
        <w:t xml:space="preserve"> ак.часа. </w:t>
      </w:r>
      <w:r>
        <w:rPr>
          <w:sz w:val="20"/>
          <w:szCs w:val="20"/>
        </w:rPr>
      </w:r>
    </w:p>
    <w:p>
      <w:pPr>
        <w:pStyle w:val="637"/>
        <w:ind w:right="605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Формат обучения: </w:t>
      </w:r>
      <w:r>
        <w:rPr>
          <w:sz w:val="20"/>
          <w:szCs w:val="20"/>
        </w:rPr>
        <w:t xml:space="preserve">онлайн</w:t>
      </w:r>
      <w:r>
        <w:rPr>
          <w:sz w:val="20"/>
          <w:szCs w:val="20"/>
        </w:rPr>
      </w:r>
    </w:p>
    <w:p>
      <w:pPr>
        <w:pStyle w:val="637"/>
        <w:ind w:right="38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Цели и задачи курса:</w:t>
      </w:r>
      <w:r>
        <w:rPr>
          <w:sz w:val="20"/>
          <w:szCs w:val="20"/>
        </w:rPr>
        <w:t xml:space="preserve"> Повышение квалификации специалистов и руководителей компаний, совершающих операции на фондовом рынке. Ознакомление спе</w:t>
      </w:r>
      <w:r>
        <w:rPr>
          <w:sz w:val="20"/>
          <w:szCs w:val="20"/>
        </w:rPr>
        <w:t xml:space="preserve">циалистов и руководителей компаний, планирующих выход на фондовый рынок с основами инфраструктуры фондового рынка и организацией бухгалтерского учета. На данном курсе слушатели получат возможность обсудить текущие проблемы с преподавателями - практиками, с</w:t>
      </w:r>
      <w:r>
        <w:rPr>
          <w:sz w:val="20"/>
          <w:szCs w:val="20"/>
        </w:rPr>
        <w:t xml:space="preserve">истематизировать и усовершенствовать знания по вопросам бухгалтерского и налогового учета операций с ценными бумагами и производными финансовыми инструментами. Слушатели курса получат разъяснения по составлению финансовой отчетности и налоговых деклараций.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64"/>
        <w:jc w:val="both"/>
        <w:spacing w:line="240" w:lineRule="auto"/>
        <w:rPr>
          <w:b w:val="0"/>
        </w:rPr>
      </w:pPr>
      <w:r>
        <w:t xml:space="preserve">Документы об обучении: </w:t>
      </w:r>
      <w:r>
        <w:rPr>
          <w:b w:val="0"/>
        </w:rPr>
        <w:t xml:space="preserve">выдается удостоверение о повышении квалификации установленного образца </w:t>
      </w:r>
      <w:r>
        <w:rPr>
          <w:b w:val="0"/>
        </w:rPr>
      </w:r>
    </w:p>
    <w:p>
      <w:pPr>
        <w:pStyle w:val="664"/>
      </w:pPr>
      <w:r/>
      <w:r/>
    </w:p>
    <w:p>
      <w:pPr>
        <w:pStyle w:val="664"/>
        <w:jc w:val="center"/>
      </w:pPr>
      <w:r>
        <w:t xml:space="preserve">Тематический план курса</w:t>
      </w:r>
      <w:r/>
    </w:p>
    <w:tbl>
      <w:tblPr>
        <w:tblW w:w="10632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851"/>
        <w:gridCol w:w="7229"/>
        <w:gridCol w:w="1276"/>
        <w:gridCol w:w="127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shd w:val="clear" w:color="auto" w:fill="d9d9d9"/>
            <w:tcW w:w="851" w:type="dxa"/>
            <w:vAlign w:val="center"/>
            <w:textDirection w:val="lrTb"/>
            <w:noWrap w:val="false"/>
          </w:tcPr>
          <w:p>
            <w:pPr>
              <w:pStyle w:val="63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№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shd w:val="clear" w:color="auto" w:fill="d9d9d9"/>
            <w:tcW w:w="7229" w:type="dxa"/>
            <w:vAlign w:val="center"/>
            <w:textDirection w:val="lrTb"/>
            <w:noWrap w:val="false"/>
          </w:tcPr>
          <w:p>
            <w:pPr>
              <w:pStyle w:val="63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Наименование темы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shd w:val="clear" w:color="auto" w:fill="ffffff"/>
            <w:tcW w:w="1276" w:type="dxa"/>
            <w:vAlign w:val="center"/>
            <w:textDirection w:val="lrTb"/>
            <w:noWrap w:val="false"/>
          </w:tcPr>
          <w:p>
            <w:pPr>
              <w:pStyle w:val="637"/>
              <w:ind w:right="-11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Количество часов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shd w:val="clear" w:color="auto" w:fill="ffffff"/>
            <w:tcW w:w="1276" w:type="dxa"/>
            <w:vAlign w:val="center"/>
            <w:textDirection w:val="lrTb"/>
            <w:noWrap w:val="false"/>
          </w:tcPr>
          <w:p>
            <w:pPr>
              <w:pStyle w:val="63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Даты проведения</w:t>
            </w:r>
            <w:r>
              <w:rPr>
                <w:b/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shd w:val="clear" w:color="auto" w:fill="d9d9d9"/>
            <w:tcW w:w="851" w:type="dxa"/>
            <w:vAlign w:val="center"/>
            <w:textDirection w:val="lrTb"/>
            <w:noWrap w:val="false"/>
          </w:tcPr>
          <w:p>
            <w:pPr>
              <w:pStyle w:val="63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Тема 1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shd w:val="clear" w:color="auto" w:fill="d9d9d9"/>
            <w:tcW w:w="7229" w:type="dxa"/>
            <w:vAlign w:val="center"/>
            <w:textDirection w:val="lrTb"/>
            <w:noWrap w:val="false"/>
          </w:tcPr>
          <w:p>
            <w:pPr>
              <w:pStyle w:val="637"/>
              <w:jc w:val="both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Правовое регулирование рынка ценных бумаг. Основные понятия и термины.  Инфраструктура рынка ценных бумаг.</w:t>
            </w:r>
            <w:r>
              <w:rPr>
                <w:b/>
                <w:sz w:val="20"/>
                <w:szCs w:val="20"/>
                <w:lang w:eastAsia="en-US"/>
              </w:rPr>
              <w:t xml:space="preserve"> Функции рынка ценных бумаг. Организатор торговли/биржа. Участники торгов. Функции профессиональных участников на рынке ценных бумаг. Эмитенты и и</w:t>
            </w:r>
            <w:r>
              <w:rPr>
                <w:b/>
                <w:bCs/>
                <w:sz w:val="20"/>
                <w:szCs w:val="20"/>
                <w:lang w:eastAsia="en-US"/>
              </w:rPr>
              <w:t xml:space="preserve">нвесторы на рынке ценных бумаг.</w:t>
            </w:r>
            <w:r>
              <w:rPr>
                <w:b/>
                <w:sz w:val="20"/>
                <w:szCs w:val="20"/>
                <w:lang w:eastAsia="en-US"/>
              </w:rPr>
            </w:r>
            <w:r>
              <w:rPr>
                <w:b/>
                <w:sz w:val="20"/>
                <w:szCs w:val="20"/>
                <w:lang w:eastAsia="en-US"/>
              </w:rPr>
            </w:r>
          </w:p>
        </w:tc>
        <w:tc>
          <w:tcPr>
            <w:shd w:val="clear" w:color="auto" w:fill="ffffff"/>
            <w:tcW w:w="1276" w:type="dxa"/>
            <w:vAlign w:val="center"/>
            <w:textDirection w:val="lrTb"/>
            <w:noWrap w:val="false"/>
          </w:tcPr>
          <w:p>
            <w:pPr>
              <w:pStyle w:val="637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4</w:t>
            </w:r>
            <w:r>
              <w:rPr>
                <w:bCs/>
                <w:sz w:val="20"/>
                <w:szCs w:val="20"/>
                <w:lang w:eastAsia="en-US"/>
              </w:rPr>
            </w:r>
          </w:p>
        </w:tc>
        <w:tc>
          <w:tcPr>
            <w:shd w:val="clear" w:color="auto" w:fill="ffffff"/>
            <w:tcW w:w="1276" w:type="dxa"/>
            <w:vAlign w:val="center"/>
            <w:textDirection w:val="lrTb"/>
            <w:noWrap w:val="false"/>
          </w:tcPr>
          <w:p>
            <w:pPr>
              <w:pStyle w:val="637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24.11</w:t>
            </w:r>
            <w:r>
              <w:rPr>
                <w:bCs/>
                <w:sz w:val="20"/>
                <w:szCs w:val="20"/>
                <w:lang w:eastAsia="en-US"/>
              </w:rPr>
              <w:t xml:space="preserve">.2026</w:t>
            </w:r>
            <w:r>
              <w:rPr>
                <w:bCs/>
                <w:sz w:val="20"/>
                <w:szCs w:val="20"/>
                <w:lang w:eastAsia="en-US"/>
              </w:rPr>
            </w:r>
            <w:r>
              <w:rPr>
                <w:bCs/>
                <w:sz w:val="20"/>
                <w:szCs w:val="20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shd w:val="clear" w:color="auto" w:fill="d9d9d9"/>
            <w:tcW w:w="851" w:type="dxa"/>
            <w:vAlign w:val="center"/>
            <w:textDirection w:val="lrTb"/>
            <w:noWrap w:val="false"/>
          </w:tcPr>
          <w:p>
            <w:pPr>
              <w:pStyle w:val="63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Тема 2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shd w:val="clear" w:color="auto" w:fill="d9d9d9"/>
            <w:tcW w:w="7229" w:type="dxa"/>
            <w:vAlign w:val="center"/>
            <w:textDirection w:val="lrTb"/>
            <w:noWrap w:val="false"/>
          </w:tcPr>
          <w:p>
            <w:pPr>
              <w:pStyle w:val="637"/>
              <w:jc w:val="both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Финансовые инструменты: понятие, виды, классификация, регулирование. Ценные бумаги, как объект гражданского оборота. Понятие владельца и собственника ценной бумаги </w:t>
            </w:r>
            <w:r>
              <w:rPr>
                <w:b/>
                <w:bCs/>
                <w:sz w:val="20"/>
                <w:szCs w:val="20"/>
                <w:lang w:eastAsia="en-US"/>
              </w:rPr>
              <w:t xml:space="preserve">Специфика первичного размещения и вторичного обращения   финансовых инструментов. Виды и содержание договоров (сделок), осуществляемых на рынке ценных бумаг.</w:t>
            </w:r>
            <w:r>
              <w:rPr>
                <w:b/>
                <w:sz w:val="20"/>
                <w:szCs w:val="20"/>
                <w:lang w:eastAsia="en-US"/>
              </w:rPr>
            </w:r>
            <w:r>
              <w:rPr>
                <w:b/>
                <w:sz w:val="20"/>
                <w:szCs w:val="20"/>
                <w:lang w:eastAsia="en-US"/>
              </w:rPr>
            </w:r>
          </w:p>
        </w:tc>
        <w:tc>
          <w:tcPr>
            <w:shd w:val="clear" w:color="auto" w:fill="ffffff"/>
            <w:tcW w:w="1276" w:type="dxa"/>
            <w:vAlign w:val="center"/>
            <w:textDirection w:val="lrTb"/>
            <w:noWrap w:val="false"/>
          </w:tcPr>
          <w:p>
            <w:pPr>
              <w:pStyle w:val="63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4</w:t>
            </w: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shd w:val="clear" w:color="auto" w:fill="ffffff"/>
            <w:tcW w:w="1276" w:type="dxa"/>
            <w:vAlign w:val="center"/>
            <w:textDirection w:val="lrTb"/>
            <w:noWrap w:val="false"/>
          </w:tcPr>
          <w:p>
            <w:pPr>
              <w:pStyle w:val="63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25.11</w:t>
            </w:r>
            <w:r>
              <w:rPr>
                <w:bCs/>
                <w:sz w:val="20"/>
                <w:szCs w:val="20"/>
                <w:lang w:eastAsia="en-US"/>
              </w:rPr>
              <w:t xml:space="preserve">.2026</w:t>
            </w: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shd w:val="clear" w:color="auto" w:fill="e0e0e0"/>
            <w:tcBorders>
              <w:bottom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pStyle w:val="63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Тема 3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shd w:val="clear" w:color="auto" w:fill="e0e0e0"/>
            <w:tcBorders>
              <w:bottom w:val="single" w:color="000000" w:sz="4" w:space="0"/>
            </w:tcBorders>
            <w:tcW w:w="7229" w:type="dxa"/>
            <w:vAlign w:val="center"/>
            <w:textDirection w:val="lrTb"/>
            <w:noWrap w:val="false"/>
          </w:tcPr>
          <w:p>
            <w:pPr>
              <w:pStyle w:val="637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Нормативное регулирование бухгалтерского учета операций с ценными бумагами и формирование показателей при составлении отчетности. </w:t>
            </w:r>
            <w:r>
              <w:rPr>
                <w:b/>
                <w:bCs/>
                <w:sz w:val="20"/>
                <w:szCs w:val="20"/>
                <w:lang w:eastAsia="en-US"/>
              </w:rPr>
            </w:r>
          </w:p>
        </w:tc>
        <w:tc>
          <w:tcPr>
            <w:shd w:val="clear" w:color="auto" w:fill="ffffff"/>
            <w:tcBorders>
              <w:bottom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637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4</w:t>
            </w:r>
            <w:r>
              <w:rPr>
                <w:bCs/>
                <w:sz w:val="20"/>
                <w:szCs w:val="20"/>
                <w:lang w:eastAsia="en-US"/>
              </w:rPr>
            </w:r>
            <w:r>
              <w:rPr>
                <w:bCs/>
                <w:sz w:val="20"/>
                <w:szCs w:val="20"/>
                <w:lang w:eastAsia="en-US"/>
              </w:rPr>
            </w:r>
          </w:p>
        </w:tc>
        <w:tc>
          <w:tcPr>
            <w:shd w:val="clear" w:color="auto" w:fill="ffffff"/>
            <w:tcBorders>
              <w:bottom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637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</w:r>
            <w:r>
              <w:rPr>
                <w:bCs/>
                <w:sz w:val="20"/>
                <w:szCs w:val="20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bottom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pStyle w:val="637"/>
              <w:jc w:val="center"/>
            </w:pPr>
            <w:r>
              <w:rPr>
                <w:sz w:val="20"/>
                <w:szCs w:val="20"/>
                <w:lang w:eastAsia="en-US"/>
              </w:rPr>
              <w:t xml:space="preserve">3.1</w:t>
            </w:r>
            <w:r>
              <w:rPr>
                <w:b/>
                <w:sz w:val="20"/>
                <w:szCs w:val="20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7229" w:type="dxa"/>
            <w:vAlign w:val="center"/>
            <w:textDirection w:val="lrTb"/>
            <w:noWrap w:val="false"/>
          </w:tcPr>
          <w:p>
            <w:pPr>
              <w:pStyle w:val="637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Пассивные операции с ценными бумагами. Национальные стандарты, используемые для учета операций с ценными бумагами у эмитента. Активные операции с ценными бумагами. Национальные стандарты, используемые для учета операций у инвестора. Учетная политика. </w:t>
            </w:r>
            <w:r>
              <w:rPr>
                <w:b/>
                <w:bCs/>
                <w:sz w:val="20"/>
                <w:szCs w:val="20"/>
                <w:lang w:eastAsia="en-US"/>
              </w:rPr>
            </w:r>
            <w:r>
              <w:rPr>
                <w:b/>
                <w:bCs/>
                <w:sz w:val="20"/>
                <w:szCs w:val="20"/>
                <w:lang w:eastAsia="en-US"/>
              </w:rPr>
            </w:r>
          </w:p>
        </w:tc>
        <w:tc>
          <w:tcPr>
            <w:shd w:val="clear" w:color="auto" w:fill="ffffff"/>
            <w:tcBorders>
              <w:bottom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63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  <w:p>
            <w:pPr>
              <w:pStyle w:val="63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shd w:val="clear" w:color="auto" w:fill="ffffff"/>
            <w:tcBorders>
              <w:bottom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637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26.11</w:t>
            </w:r>
            <w:r>
              <w:rPr>
                <w:bCs/>
                <w:sz w:val="20"/>
                <w:szCs w:val="20"/>
                <w:lang w:eastAsia="en-US"/>
              </w:rPr>
              <w:t xml:space="preserve">.2026</w:t>
            </w:r>
            <w:r>
              <w:rPr>
                <w:bCs/>
                <w:sz w:val="20"/>
                <w:szCs w:val="20"/>
                <w:lang w:eastAsia="en-US"/>
              </w:rPr>
            </w:r>
            <w:r>
              <w:rPr>
                <w:bCs/>
                <w:sz w:val="20"/>
                <w:szCs w:val="20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bottom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pStyle w:val="637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3.2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bottom w:val="single" w:color="000000" w:sz="4" w:space="0"/>
            </w:tcBorders>
            <w:tcW w:w="7229" w:type="dxa"/>
            <w:vAlign w:val="center"/>
            <w:textDirection w:val="lrTb"/>
            <w:noWrap w:val="false"/>
          </w:tcPr>
          <w:p>
            <w:pPr>
              <w:pStyle w:val="637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Пассивные операции с ценными бумагами. ОСБУ и МСФО, используемые для учета операций с ценными бумагами у эмитента. Активные операции с ценными бумагами. ОСБУ и МСФО, используемые для учета операций у инвестора. Учетная политика. </w:t>
            </w:r>
            <w:r>
              <w:rPr>
                <w:b/>
                <w:bCs/>
                <w:sz w:val="20"/>
                <w:szCs w:val="20"/>
                <w:lang w:eastAsia="en-US"/>
              </w:rPr>
            </w:r>
            <w:r>
              <w:rPr>
                <w:b/>
                <w:bCs/>
                <w:sz w:val="20"/>
                <w:szCs w:val="20"/>
                <w:lang w:eastAsia="en-US"/>
              </w:rPr>
            </w:r>
          </w:p>
        </w:tc>
        <w:tc>
          <w:tcPr>
            <w:shd w:val="clear" w:color="auto" w:fill="ffffff"/>
            <w:tcBorders>
              <w:bottom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63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shd w:val="clear" w:color="auto" w:fill="ffffff"/>
            <w:tcBorders>
              <w:bottom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63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30.11</w:t>
            </w:r>
            <w:r>
              <w:rPr>
                <w:bCs/>
                <w:sz w:val="20"/>
                <w:szCs w:val="20"/>
                <w:lang w:eastAsia="en-US"/>
              </w:rPr>
              <w:t xml:space="preserve">.2026</w:t>
            </w: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shd w:val="clear" w:color="auto" w:fill="d9d9d9"/>
            <w:tcBorders>
              <w:bottom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pStyle w:val="63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Тема 4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shd w:val="clear" w:color="auto" w:fill="d9d9d9"/>
            <w:tcBorders>
              <w:bottom w:val="single" w:color="000000" w:sz="4" w:space="0"/>
            </w:tcBorders>
            <w:tcW w:w="7229" w:type="dxa"/>
            <w:vAlign w:val="center"/>
            <w:textDirection w:val="lrTb"/>
            <w:noWrap w:val="false"/>
          </w:tcPr>
          <w:p>
            <w:pPr>
              <w:pStyle w:val="637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Отражение операций с ценными бумагами в бухгалтерском учете. Формирование показателей бухгалтерской отчетности.  </w:t>
            </w: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shd w:val="clear" w:color="auto" w:fill="ffffff"/>
            <w:tcBorders>
              <w:bottom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637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4</w:t>
            </w:r>
            <w:r>
              <w:rPr>
                <w:bCs/>
                <w:sz w:val="20"/>
                <w:szCs w:val="20"/>
                <w:lang w:eastAsia="en-US"/>
              </w:rPr>
            </w:r>
          </w:p>
        </w:tc>
        <w:tc>
          <w:tcPr>
            <w:shd w:val="clear" w:color="auto" w:fill="ffffff"/>
            <w:tcBorders>
              <w:bottom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637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</w:r>
            <w:r>
              <w:rPr>
                <w:bCs/>
                <w:sz w:val="20"/>
                <w:szCs w:val="20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shd w:val="clear" w:color="auto" w:fill="ffffff"/>
            <w:tcW w:w="851" w:type="dxa"/>
            <w:vAlign w:val="center"/>
            <w:textDirection w:val="lrTb"/>
            <w:noWrap w:val="false"/>
          </w:tcPr>
          <w:p>
            <w:pPr>
              <w:pStyle w:val="63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4.1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/>
            <w:tcW w:w="7229" w:type="dxa"/>
            <w:vAlign w:val="center"/>
            <w:textDirection w:val="lrTb"/>
            <w:noWrap w:val="false"/>
          </w:tcPr>
          <w:p>
            <w:pPr>
              <w:pStyle w:val="637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При</w:t>
            </w:r>
            <w:r>
              <w:rPr>
                <w:sz w:val="20"/>
                <w:szCs w:val="20"/>
                <w:lang w:eastAsia="en-US"/>
              </w:rPr>
              <w:t xml:space="preserve">знание и классификация объекта учета. Бизнес-модель и профессиональное суждение. Первичные документы и регистры учета. Типовые бухгалтерские проводки. Раскрытие информации в бухгалтерской отчетности по операциям с ценными бумагами у эмитентов и инвесторов.</w:t>
            </w:r>
            <w:r>
              <w:rPr>
                <w:b/>
                <w:bCs/>
                <w:sz w:val="20"/>
                <w:szCs w:val="20"/>
                <w:lang w:eastAsia="en-US"/>
              </w:rPr>
            </w:r>
            <w:r>
              <w:rPr>
                <w:b/>
                <w:bCs/>
                <w:sz w:val="20"/>
                <w:szCs w:val="20"/>
                <w:lang w:eastAsia="en-US"/>
              </w:rPr>
            </w:r>
          </w:p>
        </w:tc>
        <w:tc>
          <w:tcPr>
            <w:shd w:val="clear" w:color="auto" w:fill="ffffff"/>
            <w:tcW w:w="1276" w:type="dxa"/>
            <w:vAlign w:val="center"/>
            <w:textDirection w:val="lrTb"/>
            <w:noWrap w:val="false"/>
          </w:tcPr>
          <w:p>
            <w:pPr>
              <w:pStyle w:val="63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shd w:val="clear" w:color="auto" w:fill="ffffff"/>
            <w:tcW w:w="1276" w:type="dxa"/>
            <w:vAlign w:val="center"/>
            <w:textDirection w:val="lrTb"/>
            <w:noWrap w:val="false"/>
          </w:tcPr>
          <w:p>
            <w:pPr>
              <w:pStyle w:val="63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01.12</w:t>
            </w:r>
            <w:r>
              <w:rPr>
                <w:bCs/>
                <w:sz w:val="20"/>
                <w:szCs w:val="20"/>
                <w:lang w:eastAsia="en-US"/>
              </w:rPr>
              <w:t xml:space="preserve">.2026</w:t>
            </w: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shd w:val="clear" w:color="auto" w:fill="ffffff"/>
            <w:tcW w:w="851" w:type="dxa"/>
            <w:vAlign w:val="center"/>
            <w:textDirection w:val="lrTb"/>
            <w:noWrap w:val="false"/>
          </w:tcPr>
          <w:p>
            <w:pPr>
              <w:pStyle w:val="637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4.2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shd w:val="clear" w:color="auto" w:fill="ffffff"/>
            <w:tcW w:w="7229" w:type="dxa"/>
            <w:vAlign w:val="center"/>
            <w:textDirection w:val="lrTb"/>
            <w:noWrap w:val="false"/>
          </w:tcPr>
          <w:p>
            <w:pPr>
              <w:pStyle w:val="637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Признание и кла</w:t>
            </w:r>
            <w:r>
              <w:rPr>
                <w:sz w:val="20"/>
                <w:szCs w:val="20"/>
                <w:lang w:eastAsia="en-US"/>
              </w:rPr>
              <w:t xml:space="preserve">ссификация объекта учета. Бизнес-модель и профессиональное суждение. Первичные документы и регистры учета. Типовые бухгалтерские проводки ОСБУ и МСФО. Раскрытие информации в бухгалтерской отчетности по операциям с ценными бумагами у эмитентов и инвесторов.</w:t>
            </w: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shd w:val="clear" w:color="auto" w:fill="ffffff"/>
            <w:tcW w:w="1276" w:type="dxa"/>
            <w:vAlign w:val="center"/>
            <w:textDirection w:val="lrTb"/>
            <w:noWrap w:val="false"/>
          </w:tcPr>
          <w:p>
            <w:pPr>
              <w:pStyle w:val="63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shd w:val="clear" w:color="auto" w:fill="ffffff"/>
            <w:tcW w:w="1276" w:type="dxa"/>
            <w:vAlign w:val="center"/>
            <w:textDirection w:val="lrTb"/>
            <w:noWrap w:val="false"/>
          </w:tcPr>
          <w:p>
            <w:pPr>
              <w:pStyle w:val="63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02.12</w:t>
            </w:r>
            <w:r>
              <w:rPr>
                <w:bCs/>
                <w:sz w:val="20"/>
                <w:szCs w:val="20"/>
                <w:lang w:eastAsia="en-US"/>
              </w:rPr>
              <w:t xml:space="preserve">.2026</w:t>
            </w: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shd w:val="clear" w:color="auto" w:fill="d9d9d9"/>
            <w:tcW w:w="851" w:type="dxa"/>
            <w:vAlign w:val="center"/>
            <w:textDirection w:val="lrTb"/>
            <w:noWrap w:val="false"/>
          </w:tcPr>
          <w:p>
            <w:pPr>
              <w:pStyle w:val="63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Тема 5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shd w:val="clear" w:color="auto" w:fill="d9d9d9"/>
            <w:tcW w:w="7229" w:type="dxa"/>
            <w:vAlign w:val="center"/>
            <w:textDirection w:val="lrTb"/>
            <w:noWrap w:val="false"/>
          </w:tcPr>
          <w:p>
            <w:pPr>
              <w:pStyle w:val="637"/>
              <w:jc w:val="both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Доверительное управление ценными бумагами. Учредитель управления и доверительный управляющий. Нормативное регулирование бухгалтерского учета и налогообложения объекта доверительного управления и его результатов.</w:t>
            </w:r>
            <w:r>
              <w:rPr>
                <w:b/>
                <w:sz w:val="20"/>
                <w:szCs w:val="20"/>
                <w:lang w:eastAsia="en-US"/>
              </w:rPr>
            </w:r>
          </w:p>
        </w:tc>
        <w:tc>
          <w:tcPr>
            <w:shd w:val="clear" w:color="auto" w:fill="ffffff"/>
            <w:tcW w:w="1276" w:type="dxa"/>
            <w:vAlign w:val="center"/>
            <w:textDirection w:val="lrTb"/>
            <w:noWrap w:val="false"/>
          </w:tcPr>
          <w:p>
            <w:pPr>
              <w:pStyle w:val="63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4</w:t>
            </w: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shd w:val="clear" w:color="auto" w:fill="ffffff"/>
            <w:tcW w:w="1276" w:type="dxa"/>
            <w:vAlign w:val="center"/>
            <w:textDirection w:val="lrTb"/>
            <w:noWrap w:val="false"/>
          </w:tcPr>
          <w:p>
            <w:pPr>
              <w:pStyle w:val="637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03.12</w:t>
            </w:r>
            <w:r>
              <w:rPr>
                <w:sz w:val="20"/>
                <w:szCs w:val="20"/>
                <w:lang w:eastAsia="en-US"/>
              </w:rPr>
              <w:t xml:space="preserve">.2026</w:t>
            </w: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shd w:val="clear" w:color="auto" w:fill="d9d9d9"/>
            <w:tcBorders>
              <w:bottom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pStyle w:val="63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Тема 6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shd w:val="clear" w:color="auto" w:fill="d9d9d9"/>
            <w:tcBorders>
              <w:bottom w:val="single" w:color="000000" w:sz="4" w:space="0"/>
            </w:tcBorders>
            <w:tcW w:w="7229" w:type="dxa"/>
            <w:vAlign w:val="center"/>
            <w:textDirection w:val="lrTb"/>
            <w:noWrap w:val="false"/>
          </w:tcPr>
          <w:p>
            <w:pPr>
              <w:pStyle w:val="637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Паевой инвестиционный фонд (ПИФ). Инфраструктура ПИФ. Инвестиционные паи. Способы обращения. Порядок учета. Особенности бухгалтерского учета и налогообложения имущества и операций ПИФ. </w:t>
            </w:r>
            <w:r>
              <w:rPr>
                <w:color w:val="000000"/>
                <w:sz w:val="20"/>
                <w:szCs w:val="20"/>
                <w:lang w:eastAsia="en-US"/>
              </w:rPr>
            </w: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shd w:val="clear" w:color="auto" w:fill="ffffff"/>
            <w:tcBorders>
              <w:bottom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637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4</w:t>
            </w:r>
            <w:r>
              <w:rPr>
                <w:bCs/>
                <w:sz w:val="20"/>
                <w:szCs w:val="20"/>
                <w:lang w:eastAsia="en-US"/>
              </w:rPr>
            </w:r>
          </w:p>
        </w:tc>
        <w:tc>
          <w:tcPr>
            <w:shd w:val="clear" w:color="auto" w:fill="ffffff"/>
            <w:tcBorders>
              <w:bottom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637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07.12</w:t>
            </w:r>
            <w:r>
              <w:rPr>
                <w:bCs/>
                <w:sz w:val="20"/>
                <w:szCs w:val="20"/>
                <w:lang w:eastAsia="en-US"/>
              </w:rPr>
              <w:t xml:space="preserve">.2026</w:t>
            </w:r>
            <w:r>
              <w:rPr>
                <w:bCs/>
                <w:sz w:val="20"/>
                <w:szCs w:val="20"/>
                <w:lang w:eastAsia="en-US"/>
              </w:rPr>
            </w:r>
            <w:r>
              <w:rPr>
                <w:bCs/>
                <w:sz w:val="20"/>
                <w:szCs w:val="20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shd w:val="clear" w:color="auto" w:fill="d9d9d9"/>
            <w:tcBorders>
              <w:bottom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pStyle w:val="63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Тема 7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shd w:val="clear" w:color="auto" w:fill="d9d9d9"/>
            <w:tcBorders>
              <w:bottom w:val="single" w:color="000000" w:sz="4" w:space="0"/>
            </w:tcBorders>
            <w:tcW w:w="7229" w:type="dxa"/>
            <w:vAlign w:val="center"/>
            <w:textDirection w:val="lrTb"/>
            <w:noWrap w:val="false"/>
          </w:tcPr>
          <w:p>
            <w:pPr>
              <w:pStyle w:val="637"/>
              <w:jc w:val="both"/>
              <w:rPr>
                <w:b/>
                <w:bCs/>
                <w:i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Производные финансовые инструменты (ПФИ): понятие и нормативное регулирование. Виды производных финансовых инструментов. Бухгалтерский учет ПФИ. Налогообложение операций с производными финансовыми инструментами.  Налоговые регистры и налоговые декларации.</w:t>
            </w:r>
            <w:r>
              <w:rPr>
                <w:b/>
                <w:bCs/>
                <w:i/>
                <w:sz w:val="20"/>
                <w:szCs w:val="20"/>
                <w:lang w:eastAsia="en-US"/>
              </w:rPr>
            </w:r>
            <w:r>
              <w:rPr>
                <w:b/>
                <w:bCs/>
                <w:i/>
                <w:sz w:val="20"/>
                <w:szCs w:val="20"/>
                <w:lang w:eastAsia="en-US"/>
              </w:rPr>
            </w:r>
          </w:p>
        </w:tc>
        <w:tc>
          <w:tcPr>
            <w:shd w:val="clear" w:color="auto" w:fill="ffffff"/>
            <w:tcBorders>
              <w:bottom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637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4</w:t>
            </w:r>
            <w:r>
              <w:rPr>
                <w:bCs/>
                <w:sz w:val="20"/>
                <w:szCs w:val="20"/>
                <w:lang w:eastAsia="en-US"/>
              </w:rPr>
            </w:r>
          </w:p>
        </w:tc>
        <w:tc>
          <w:tcPr>
            <w:shd w:val="clear" w:color="auto" w:fill="ffffff"/>
            <w:tcBorders>
              <w:bottom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637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08.12</w:t>
            </w:r>
            <w:r>
              <w:rPr>
                <w:bCs/>
                <w:sz w:val="20"/>
                <w:szCs w:val="20"/>
                <w:lang w:eastAsia="en-US"/>
              </w:rPr>
              <w:t xml:space="preserve">.2026</w:t>
            </w:r>
            <w:r>
              <w:rPr>
                <w:bCs/>
                <w:sz w:val="20"/>
                <w:szCs w:val="20"/>
                <w:lang w:eastAsia="en-US"/>
              </w:rPr>
            </w:r>
            <w:r>
              <w:rPr>
                <w:bCs/>
                <w:sz w:val="20"/>
                <w:szCs w:val="20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shd w:val="clear" w:color="auto" w:fill="d9d9d9"/>
            <w:tcBorders>
              <w:bottom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pStyle w:val="63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Тема 8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shd w:val="clear" w:color="auto" w:fill="d9d9d9"/>
            <w:tcBorders>
              <w:bottom w:val="single" w:color="000000" w:sz="4" w:space="0"/>
            </w:tcBorders>
            <w:tcW w:w="7229" w:type="dxa"/>
            <w:vAlign w:val="center"/>
            <w:textDirection w:val="lrTb"/>
            <w:noWrap w:val="false"/>
          </w:tcPr>
          <w:p>
            <w:pPr>
              <w:pStyle w:val="637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Налогообложение операций с ценными бумагами. Виды доходов и расходов. Учетная политика для целей налогообложения. Налоговые регистры и налоговые декларации.</w:t>
            </w:r>
            <w:r>
              <w:rPr>
                <w:b/>
                <w:bCs/>
                <w:sz w:val="20"/>
                <w:szCs w:val="20"/>
                <w:lang w:eastAsia="en-US"/>
              </w:rPr>
            </w:r>
          </w:p>
        </w:tc>
        <w:tc>
          <w:tcPr>
            <w:shd w:val="clear" w:color="auto" w:fill="ffffff"/>
            <w:tcBorders>
              <w:bottom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637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4</w:t>
            </w:r>
            <w:r>
              <w:rPr>
                <w:bCs/>
                <w:sz w:val="20"/>
                <w:szCs w:val="20"/>
                <w:lang w:eastAsia="en-US"/>
              </w:rPr>
            </w:r>
          </w:p>
        </w:tc>
        <w:tc>
          <w:tcPr>
            <w:shd w:val="clear" w:color="auto" w:fill="ffffff"/>
            <w:tcBorders>
              <w:bottom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637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09.12</w:t>
            </w:r>
            <w:r>
              <w:rPr>
                <w:bCs/>
                <w:sz w:val="20"/>
                <w:szCs w:val="20"/>
                <w:lang w:eastAsia="en-US"/>
              </w:rPr>
              <w:t xml:space="preserve">.2026</w:t>
            </w:r>
            <w:r>
              <w:rPr>
                <w:bCs/>
                <w:sz w:val="20"/>
                <w:szCs w:val="20"/>
                <w:lang w:eastAsia="en-US"/>
              </w:rPr>
            </w:r>
            <w:r>
              <w:rPr>
                <w:bCs/>
                <w:sz w:val="20"/>
                <w:szCs w:val="20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shd w:val="clear" w:color="auto" w:fill="d9d9d9"/>
            <w:tcBorders>
              <w:bottom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pStyle w:val="63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Тема 9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shd w:val="clear" w:color="auto" w:fill="d9d9d9"/>
            <w:tcBorders>
              <w:bottom w:val="single" w:color="000000" w:sz="4" w:space="0"/>
            </w:tcBorders>
            <w:tcW w:w="7229" w:type="dxa"/>
            <w:vAlign w:val="center"/>
            <w:textDirection w:val="lrTb"/>
            <w:noWrap w:val="false"/>
          </w:tcPr>
          <w:p>
            <w:pPr>
              <w:pStyle w:val="637"/>
              <w:jc w:val="both"/>
              <w:rPr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color w:val="000000"/>
                <w:sz w:val="20"/>
                <w:szCs w:val="20"/>
                <w:lang w:eastAsia="en-US"/>
              </w:rPr>
              <w:t xml:space="preserve">Сделка (договор) РЕПО. Нормативное регулирование договора: участники сделки, предмет сделки, срок договора, место и порядок совершения сделки РЕПО. Бухгалтерский учет объекта сделки у участников сделки РЕПО. Налогообложение сделок РЕПО,</w:t>
            </w:r>
            <w:r>
              <w:rPr>
                <w:b/>
                <w:bCs/>
                <w:sz w:val="20"/>
                <w:szCs w:val="20"/>
                <w:lang w:eastAsia="en-US"/>
              </w:rPr>
              <w:t xml:space="preserve"> налоговые регистры и налоговые декларации.</w:t>
            </w:r>
            <w:r>
              <w:rPr>
                <w:b/>
                <w:color w:val="000000"/>
                <w:sz w:val="20"/>
                <w:szCs w:val="20"/>
                <w:lang w:eastAsia="en-US"/>
              </w:rPr>
            </w:r>
            <w:r>
              <w:rPr>
                <w:b/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shd w:val="clear" w:color="auto" w:fill="ffffff"/>
            <w:tcBorders>
              <w:bottom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637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4</w:t>
            </w: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shd w:val="clear" w:color="auto" w:fill="ffffff"/>
            <w:tcBorders>
              <w:bottom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637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10.12</w:t>
            </w:r>
            <w:r>
              <w:rPr>
                <w:bCs/>
                <w:sz w:val="20"/>
                <w:szCs w:val="20"/>
                <w:lang w:eastAsia="en-US"/>
              </w:rPr>
              <w:t xml:space="preserve">.2026</w:t>
            </w:r>
            <w:r>
              <w:rPr>
                <w:color w:val="000000"/>
                <w:sz w:val="20"/>
                <w:szCs w:val="20"/>
                <w:lang w:eastAsia="en-US"/>
              </w:rPr>
            </w: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</w:tr>
    </w:tbl>
    <w:p>
      <w:pPr>
        <w:pStyle w:val="667"/>
        <w:ind w:right="153"/>
        <w:spacing w:after="0"/>
        <w:rPr>
          <w:b/>
          <w:szCs w:val="20"/>
        </w:rPr>
      </w:pPr>
      <w:r>
        <w:rPr>
          <w:b/>
          <w:szCs w:val="20"/>
        </w:rPr>
      </w:r>
      <w:r>
        <w:rPr>
          <w:b/>
          <w:szCs w:val="20"/>
        </w:rPr>
      </w:r>
    </w:p>
    <w:p>
      <w:pPr>
        <w:pStyle w:val="667"/>
        <w:ind w:right="153"/>
        <w:spacing w:after="0"/>
        <w:rPr>
          <w:sz w:val="20"/>
          <w:szCs w:val="20"/>
        </w:rPr>
      </w:pPr>
      <w:r>
        <w:rPr>
          <w:b/>
          <w:sz w:val="20"/>
          <w:szCs w:val="20"/>
        </w:rPr>
        <w:t xml:space="preserve">Лекторы: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67"/>
        <w:ind w:right="153"/>
        <w:spacing w:after="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Урмина Любовь Николаевна</w:t>
      </w:r>
      <w:r>
        <w:rPr>
          <w:sz w:val="20"/>
          <w:szCs w:val="20"/>
        </w:rPr>
        <w:t xml:space="preserve"> - ведущий преподаватель Института МФЦ, аудитор- практик.</w:t>
      </w:r>
      <w:r>
        <w:rPr>
          <w:sz w:val="20"/>
          <w:szCs w:val="20"/>
        </w:rPr>
      </w:r>
    </w:p>
    <w:p>
      <w:pPr>
        <w:pStyle w:val="63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</w:r>
      <w:r>
        <w:rPr>
          <w:b/>
          <w:sz w:val="20"/>
          <w:szCs w:val="20"/>
        </w:rPr>
      </w:r>
    </w:p>
    <w:p>
      <w:pPr>
        <w:pStyle w:val="637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Стоимость курса: </w:t>
      </w:r>
      <w:r>
        <w:rPr>
          <w:bCs/>
          <w:sz w:val="20"/>
          <w:szCs w:val="20"/>
        </w:rPr>
        <w:t xml:space="preserve">с</w:t>
      </w:r>
      <w:r>
        <w:rPr>
          <w:sz w:val="20"/>
          <w:szCs w:val="20"/>
        </w:rPr>
        <w:t xml:space="preserve">тоимость участия для одного участника составляет </w:t>
      </w:r>
      <w:r>
        <w:rPr>
          <w:sz w:val="20"/>
          <w:szCs w:val="20"/>
        </w:rPr>
        <w:t xml:space="preserve">28</w:t>
      </w:r>
      <w:r>
        <w:rPr>
          <w:sz w:val="20"/>
          <w:szCs w:val="20"/>
        </w:rPr>
        <w:t xml:space="preserve"> </w:t>
      </w:r>
      <w:r>
        <w:rPr>
          <w:sz w:val="20"/>
          <w:szCs w:val="20"/>
        </w:rPr>
        <w:t xml:space="preserve">000</w:t>
      </w:r>
      <w:r>
        <w:rPr>
          <w:sz w:val="20"/>
          <w:szCs w:val="20"/>
        </w:rPr>
        <w:t xml:space="preserve"> (</w:t>
      </w:r>
      <w:r>
        <w:rPr>
          <w:sz w:val="20"/>
          <w:szCs w:val="20"/>
        </w:rPr>
        <w:t xml:space="preserve">Двадцать восемь тысяч</w:t>
      </w:r>
      <w:r>
        <w:rPr>
          <w:sz w:val="20"/>
          <w:szCs w:val="20"/>
        </w:rPr>
        <w:t xml:space="preserve">)</w:t>
      </w:r>
      <w:r>
        <w:rPr>
          <w:sz w:val="20"/>
          <w:szCs w:val="20"/>
        </w:rPr>
        <w:t xml:space="preserve"> руб</w:t>
      </w:r>
      <w:r>
        <w:rPr>
          <w:sz w:val="20"/>
          <w:szCs w:val="20"/>
        </w:rPr>
        <w:t xml:space="preserve">лей,</w:t>
      </w:r>
      <w:r>
        <w:rPr>
          <w:sz w:val="20"/>
          <w:szCs w:val="20"/>
        </w:rPr>
        <w:t xml:space="preserve"> НДС не облагается. В стоимость включаются раздаточные материалы. </w:t>
      </w:r>
      <w:r>
        <w:rPr>
          <w:b/>
          <w:bCs/>
          <w:sz w:val="20"/>
          <w:szCs w:val="20"/>
        </w:rPr>
        <w:t xml:space="preserve">Скидки:</w:t>
      </w:r>
      <w:r>
        <w:rPr>
          <w:sz w:val="20"/>
          <w:szCs w:val="20"/>
        </w:rPr>
        <w:t xml:space="preserve"> в размере 10 % - постоянным клиентам Института МФЦ/Учебного центра МФЦ, а также начиная со второго участника от одной компании.</w:t>
      </w:r>
      <w:r>
        <w:rPr>
          <w:sz w:val="20"/>
          <w:szCs w:val="20"/>
        </w:rPr>
      </w:r>
    </w:p>
    <w:p>
      <w:pPr>
        <w:pStyle w:val="637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Дополнительную информацию о курсах можно получить по телефону</w:t>
      </w:r>
      <w:r>
        <w:rPr>
          <w:sz w:val="20"/>
          <w:szCs w:val="20"/>
        </w:rPr>
        <w:t xml:space="preserve"> (495) 921-</w:t>
      </w:r>
      <w:r>
        <w:rPr>
          <w:sz w:val="20"/>
          <w:szCs w:val="20"/>
        </w:rPr>
        <w:t xml:space="preserve">2273,</w:t>
      </w:r>
      <w:r>
        <w:rPr>
          <w:sz w:val="20"/>
          <w:szCs w:val="20"/>
        </w:rPr>
        <w:t xml:space="preserve"> внутренний 13</w:t>
      </w:r>
      <w:r>
        <w:rPr>
          <w:sz w:val="20"/>
          <w:szCs w:val="20"/>
        </w:rPr>
        <w:t xml:space="preserve">4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–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Шуваева Мария</w:t>
      </w:r>
      <w:r>
        <w:rPr>
          <w:sz w:val="20"/>
          <w:szCs w:val="20"/>
        </w:rPr>
        <w:t xml:space="preserve">; 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e-mail: </w:t>
      </w:r>
      <w:r>
        <w:rPr>
          <w:sz w:val="20"/>
          <w:szCs w:val="20"/>
          <w:lang w:val="en-US"/>
        </w:rPr>
        <w:fldChar w:fldCharType="begin"/>
      </w:r>
      <w:r>
        <w:rPr>
          <w:sz w:val="20"/>
          <w:szCs w:val="20"/>
        </w:rPr>
        <w:instrText xml:space="preserve"> </w:instrText>
      </w:r>
      <w:r>
        <w:rPr>
          <w:sz w:val="20"/>
          <w:szCs w:val="20"/>
          <w:lang w:val="en-US"/>
        </w:rPr>
        <w:instrText xml:space="preserve">HYPERLINK</w:instrText>
      </w:r>
      <w:r>
        <w:rPr>
          <w:sz w:val="20"/>
          <w:szCs w:val="20"/>
        </w:rPr>
        <w:instrText xml:space="preserve"> "</w:instrText>
      </w:r>
      <w:r>
        <w:rPr>
          <w:sz w:val="20"/>
          <w:szCs w:val="20"/>
          <w:lang w:val="en-US"/>
        </w:rPr>
        <w:instrText xml:space="preserve">mailto</w:instrText>
      </w:r>
      <w:r>
        <w:rPr>
          <w:sz w:val="20"/>
          <w:szCs w:val="20"/>
        </w:rPr>
        <w:instrText xml:space="preserve">:</w:instrText>
      </w:r>
      <w:r>
        <w:rPr>
          <w:sz w:val="20"/>
          <w:szCs w:val="20"/>
          <w:lang w:val="en-US"/>
        </w:rPr>
        <w:instrText xml:space="preserve">seminar</w:instrText>
      </w:r>
      <w:r>
        <w:rPr>
          <w:sz w:val="20"/>
          <w:szCs w:val="20"/>
        </w:rPr>
        <w:instrText xml:space="preserve">2@educenter.ru" </w:instrText>
      </w:r>
      <w:r>
        <w:rPr>
          <w:sz w:val="20"/>
          <w:szCs w:val="20"/>
          <w:lang w:val="en-US"/>
        </w:rPr>
        <w:fldChar w:fldCharType="separate"/>
      </w:r>
      <w:r>
        <w:rPr>
          <w:rStyle w:val="656"/>
          <w:sz w:val="20"/>
          <w:szCs w:val="20"/>
          <w:lang w:val="en-US"/>
        </w:rPr>
        <w:t xml:space="preserve">seminar</w:t>
      </w:r>
      <w:r>
        <w:rPr>
          <w:rStyle w:val="656"/>
          <w:sz w:val="20"/>
          <w:szCs w:val="20"/>
        </w:rPr>
        <w:t xml:space="preserve">2@educenter.ru</w:t>
      </w:r>
      <w:r>
        <w:rPr>
          <w:sz w:val="20"/>
          <w:szCs w:val="20"/>
          <w:lang w:val="en-US"/>
        </w:rPr>
        <w:fldChar w:fldCharType="end"/>
      </w:r>
      <w:r>
        <w:rPr>
          <w:sz w:val="20"/>
          <w:szCs w:val="20"/>
        </w:rPr>
        <w:t xml:space="preserve">; </w:t>
      </w:r>
      <w:r>
        <w:rPr>
          <w:sz w:val="20"/>
          <w:szCs w:val="20"/>
        </w:rPr>
        <w:fldChar w:fldCharType="begin"/>
      </w:r>
      <w:r>
        <w:rPr>
          <w:sz w:val="20"/>
          <w:szCs w:val="20"/>
        </w:rPr>
        <w:instrText xml:space="preserve"> HYPERLINK "http://www.educenter.ru" </w:instrText>
      </w:r>
      <w:r>
        <w:rPr>
          <w:sz w:val="20"/>
          <w:szCs w:val="20"/>
        </w:rPr>
        <w:fldChar w:fldCharType="separate"/>
      </w:r>
      <w:r>
        <w:rPr>
          <w:rStyle w:val="656"/>
          <w:sz w:val="20"/>
          <w:szCs w:val="20"/>
        </w:rPr>
        <w:t xml:space="preserve">www.educenter.ru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</w:p>
    <w:sectPr>
      <w:footnotePr/>
      <w:endnotePr/>
      <w:type w:val="nextPage"/>
      <w:pgSz w:w="11906" w:h="16838" w:orient="portrait"/>
      <w:pgMar w:top="567" w:right="707" w:bottom="180" w:left="567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10000000000000000"/>
  </w:font>
  <w:font w:name="Courier New">
    <w:panose1 w:val="02070309020205020404"/>
  </w:font>
  <w:font w:name="Segoe UI">
    <w:panose1 w:val="020B0503020204020204"/>
  </w:font>
  <w:font w:name="Arial">
    <w:panose1 w:val="020B0604020202020204"/>
  </w:font>
  <w:font w:name="Verdana">
    <w:panose1 w:val="020B06040305040402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6"/>
      <w:numFmt w:val="bullet"/>
      <w:isLgl w:val="false"/>
      <w:suff w:val="tab"/>
      <w:lvlText w:val="-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436" w:hanging="360"/>
        <w:tabs>
          <w:tab w:val="num" w:pos="436" w:leader="none"/>
        </w:tabs>
      </w:pPr>
      <w:rPr>
        <w:rFonts w:ascii="Symbol" w:hAnsi="Symbol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156" w:hanging="360"/>
        <w:tabs>
          <w:tab w:val="num" w:pos="1156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76" w:hanging="360"/>
        <w:tabs>
          <w:tab w:val="num" w:pos="1876" w:leader="none"/>
        </w:tabs>
      </w:pPr>
      <w:rPr>
        <w:rFonts w:ascii="Wingdings" w:hAnsi="Wingdings" w:cs="Times New Roman"/>
      </w:rPr>
    </w:lvl>
    <w:lvl w:ilvl="3">
      <w:start w:val="1"/>
      <w:numFmt w:val="bullet"/>
      <w:isLgl w:val="false"/>
      <w:suff w:val="tab"/>
      <w:lvlText w:val=""/>
      <w:lvlJc w:val="left"/>
      <w:pPr>
        <w:ind w:left="2596" w:hanging="360"/>
        <w:tabs>
          <w:tab w:val="num" w:pos="2596" w:leader="none"/>
        </w:tabs>
      </w:pPr>
      <w:rPr>
        <w:rFonts w:ascii="Symbol" w:hAnsi="Symbol" w:cs="Times New Roman"/>
      </w:rPr>
    </w:lvl>
    <w:lvl w:ilvl="4">
      <w:start w:val="1"/>
      <w:numFmt w:val="bullet"/>
      <w:isLgl w:val="false"/>
      <w:suff w:val="tab"/>
      <w:lvlText w:val="o"/>
      <w:lvlJc w:val="left"/>
      <w:pPr>
        <w:ind w:left="3316" w:hanging="360"/>
        <w:tabs>
          <w:tab w:val="num" w:pos="3316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036" w:hanging="360"/>
        <w:tabs>
          <w:tab w:val="num" w:pos="4036" w:leader="none"/>
        </w:tabs>
      </w:pPr>
      <w:rPr>
        <w:rFonts w:ascii="Wingdings" w:hAnsi="Wingdings" w:cs="Times New Roman"/>
      </w:rPr>
    </w:lvl>
    <w:lvl w:ilvl="6">
      <w:start w:val="1"/>
      <w:numFmt w:val="bullet"/>
      <w:isLgl w:val="false"/>
      <w:suff w:val="tab"/>
      <w:lvlText w:val=""/>
      <w:lvlJc w:val="left"/>
      <w:pPr>
        <w:ind w:left="4756" w:hanging="360"/>
        <w:tabs>
          <w:tab w:val="num" w:pos="4756" w:leader="none"/>
        </w:tabs>
      </w:pPr>
      <w:rPr>
        <w:rFonts w:ascii="Symbol" w:hAnsi="Symbol" w:cs="Times New Roman"/>
      </w:rPr>
    </w:lvl>
    <w:lvl w:ilvl="7">
      <w:start w:val="1"/>
      <w:numFmt w:val="bullet"/>
      <w:isLgl w:val="false"/>
      <w:suff w:val="tab"/>
      <w:lvlText w:val="o"/>
      <w:lvlJc w:val="left"/>
      <w:pPr>
        <w:ind w:left="5476" w:hanging="360"/>
        <w:tabs>
          <w:tab w:val="num" w:pos="5476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96" w:hanging="360"/>
        <w:tabs>
          <w:tab w:val="num" w:pos="6196" w:leader="none"/>
        </w:tabs>
      </w:pPr>
      <w:rPr>
        <w:rFonts w:ascii="Wingdings" w:hAnsi="Wingdings" w:cs="Times New Roman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20" w:hanging="360"/>
        <w:tabs>
          <w:tab w:val="num" w:pos="720" w:leader="none"/>
        </w:tabs>
      </w:pPr>
      <w:rPr>
        <w:rFonts w:ascii="Wingdings" w:hAnsi="Wingdings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cs="Times New Roman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cs="Times New Roman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cs="Times New Roman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cs="Times New Roman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cs="Times New Roman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1068" w:hanging="360"/>
        <w:tabs>
          <w:tab w:val="num" w:pos="1068" w:leader="none"/>
        </w:tabs>
      </w:pPr>
      <w:rPr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1776" w:hanging="720"/>
        <w:tabs>
          <w:tab w:val="num" w:pos="1776" w:leader="none"/>
        </w:tabs>
      </w:pPr>
      <w:rPr>
        <w:b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124" w:hanging="720"/>
        <w:tabs>
          <w:tab w:val="num" w:pos="2124" w:leader="none"/>
        </w:tabs>
      </w:pPr>
      <w:rPr>
        <w:b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472" w:hanging="720"/>
        <w:tabs>
          <w:tab w:val="num" w:pos="2472" w:leader="none"/>
        </w:tabs>
      </w:pPr>
      <w:rPr>
        <w:b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180" w:hanging="1080"/>
        <w:tabs>
          <w:tab w:val="num" w:pos="3180" w:leader="none"/>
        </w:tabs>
      </w:pPr>
      <w:rPr>
        <w:b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528" w:hanging="1080"/>
        <w:tabs>
          <w:tab w:val="num" w:pos="3528" w:leader="none"/>
        </w:tabs>
      </w:pPr>
      <w:rPr>
        <w:b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876" w:hanging="1080"/>
        <w:tabs>
          <w:tab w:val="num" w:pos="3876" w:leader="none"/>
        </w:tabs>
      </w:pPr>
      <w:rPr>
        <w:b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584" w:hanging="1440"/>
        <w:tabs>
          <w:tab w:val="num" w:pos="4584" w:leader="none"/>
        </w:tabs>
      </w:pPr>
      <w:rPr>
        <w:b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  <w:tabs>
          <w:tab w:val="num" w:pos="720" w:leader="none"/>
        </w:tabs>
      </w:pPr>
      <w:rPr>
        <w:rFonts w:ascii="Wingdings" w:hAnsi="Wingdings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cs="Times New Roman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cs="Times New Roman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cs="Times New Roman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cs="Times New Roman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cs="Times New Roman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  <w:tabs>
          <w:tab w:val="num" w:pos="720" w:leader="none"/>
        </w:tabs>
      </w:pPr>
      <w:rPr>
        <w:rFonts w:ascii="Wingdings" w:hAnsi="Wingdings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cs="Times New Roman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cs="Times New Roman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cs="Times New Roman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cs="Times New Roman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cs="Times New Roman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b/>
        <w:color w:val="000000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360"/>
        <w:tabs>
          <w:tab w:val="num" w:pos="720" w:leader="none"/>
        </w:tabs>
      </w:pPr>
      <w:rPr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1080" w:hanging="720"/>
        <w:tabs>
          <w:tab w:val="num" w:pos="1080" w:leader="none"/>
        </w:tabs>
      </w:pPr>
      <w:rPr>
        <w:b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720"/>
        <w:tabs>
          <w:tab w:val="num" w:pos="1080" w:leader="none"/>
        </w:tabs>
      </w:pPr>
      <w:rPr>
        <w:b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720"/>
        <w:tabs>
          <w:tab w:val="num" w:pos="1080" w:leader="none"/>
        </w:tabs>
      </w:pPr>
      <w:rPr>
        <w:b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080"/>
        <w:tabs>
          <w:tab w:val="num" w:pos="1440" w:leader="none"/>
        </w:tabs>
      </w:pPr>
      <w:rPr>
        <w:b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080"/>
        <w:tabs>
          <w:tab w:val="num" w:pos="1440" w:leader="none"/>
        </w:tabs>
      </w:pPr>
      <w:rPr>
        <w:b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080"/>
        <w:tabs>
          <w:tab w:val="num" w:pos="1440" w:leader="none"/>
        </w:tabs>
      </w:pPr>
      <w:rPr>
        <w:b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440"/>
        <w:tabs>
          <w:tab w:val="num" w:pos="1800" w:leader="none"/>
        </w:tabs>
      </w:pPr>
      <w:rPr>
        <w:b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  <w:rPr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b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b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720" w:hanging="720"/>
        <w:tabs>
          <w:tab w:val="num" w:pos="720" w:leader="none"/>
        </w:tabs>
      </w:pPr>
      <w:rPr>
        <w:b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b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080" w:hanging="1080"/>
        <w:tabs>
          <w:tab w:val="num" w:pos="1080" w:leader="none"/>
        </w:tabs>
      </w:pPr>
      <w:rPr>
        <w:b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080" w:hanging="1080"/>
        <w:tabs>
          <w:tab w:val="num" w:pos="1080" w:leader="none"/>
        </w:tabs>
      </w:pPr>
      <w:rPr>
        <w:b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440" w:hanging="1440"/>
        <w:tabs>
          <w:tab w:val="num" w:pos="1440" w:leader="none"/>
        </w:tabs>
      </w:pPr>
      <w:rPr>
        <w:b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9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37"/>
    <w:next w:val="637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37"/>
    <w:next w:val="637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37"/>
    <w:next w:val="637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37"/>
    <w:next w:val="637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37"/>
    <w:next w:val="637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37"/>
    <w:next w:val="637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37"/>
    <w:next w:val="637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37"/>
    <w:next w:val="637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37"/>
    <w:next w:val="637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37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37"/>
    <w:next w:val="637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37"/>
    <w:next w:val="637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37"/>
    <w:next w:val="637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37"/>
    <w:next w:val="637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37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37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37"/>
    <w:next w:val="637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37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37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37"/>
    <w:next w:val="637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37"/>
    <w:next w:val="637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37"/>
    <w:next w:val="637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37"/>
    <w:next w:val="637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37"/>
    <w:next w:val="637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37"/>
    <w:next w:val="637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37"/>
    <w:next w:val="637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37"/>
    <w:next w:val="637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37"/>
    <w:next w:val="637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37"/>
    <w:next w:val="637"/>
    <w:uiPriority w:val="99"/>
    <w:unhideWhenUsed/>
    <w:pPr>
      <w:spacing w:after="0" w:afterAutospacing="0"/>
    </w:pPr>
  </w:style>
  <w:style w:type="paragraph" w:styleId="637" w:default="1">
    <w:name w:val="Normal"/>
    <w:next w:val="637"/>
    <w:link w:val="637"/>
    <w:qFormat/>
    <w:rPr>
      <w:sz w:val="24"/>
      <w:szCs w:val="24"/>
      <w:lang w:val="ru-RU" w:eastAsia="ru-RU" w:bidi="ar-SA"/>
    </w:rPr>
  </w:style>
  <w:style w:type="paragraph" w:styleId="638">
    <w:name w:val="Заголовок 1"/>
    <w:basedOn w:val="637"/>
    <w:next w:val="637"/>
    <w:link w:val="637"/>
    <w:qFormat/>
    <w:pPr>
      <w:keepNext/>
      <w:outlineLvl w:val="0"/>
    </w:pPr>
    <w:rPr>
      <w:b/>
      <w:bCs/>
      <w:sz w:val="22"/>
      <w:szCs w:val="22"/>
    </w:rPr>
  </w:style>
  <w:style w:type="paragraph" w:styleId="639">
    <w:name w:val="Заголовок 2"/>
    <w:basedOn w:val="637"/>
    <w:next w:val="637"/>
    <w:link w:val="637"/>
    <w:qFormat/>
    <w:pPr>
      <w:keepNext/>
      <w:spacing w:line="220" w:lineRule="exact"/>
      <w:outlineLvl w:val="1"/>
    </w:pPr>
    <w:rPr>
      <w:i/>
      <w:iCs/>
      <w:sz w:val="22"/>
      <w:szCs w:val="22"/>
    </w:rPr>
  </w:style>
  <w:style w:type="paragraph" w:styleId="640">
    <w:name w:val="Заголовок 3"/>
    <w:basedOn w:val="637"/>
    <w:next w:val="637"/>
    <w:link w:val="637"/>
    <w:qFormat/>
    <w:pPr>
      <w:keepNext/>
      <w:outlineLvl w:val="2"/>
    </w:pPr>
    <w:rPr>
      <w:i/>
      <w:iCs/>
      <w:sz w:val="28"/>
      <w:szCs w:val="28"/>
    </w:rPr>
  </w:style>
  <w:style w:type="paragraph" w:styleId="641">
    <w:name w:val="Заголовок 4"/>
    <w:basedOn w:val="637"/>
    <w:next w:val="637"/>
    <w:link w:val="637"/>
    <w:qFormat/>
    <w:pPr>
      <w:jc w:val="both"/>
      <w:keepNext/>
      <w:spacing w:before="120" w:line="220" w:lineRule="exact"/>
      <w:outlineLvl w:val="3"/>
    </w:pPr>
    <w:rPr>
      <w:b/>
      <w:bCs/>
    </w:rPr>
  </w:style>
  <w:style w:type="paragraph" w:styleId="642">
    <w:name w:val="Заголовок 5"/>
    <w:basedOn w:val="637"/>
    <w:next w:val="637"/>
    <w:link w:val="637"/>
    <w:qFormat/>
    <w:pPr>
      <w:ind w:left="360" w:hanging="288"/>
      <w:jc w:val="both"/>
      <w:keepNext/>
      <w:spacing w:before="120" w:line="220" w:lineRule="exact"/>
      <w:outlineLvl w:val="4"/>
    </w:pPr>
    <w:rPr>
      <w:b/>
      <w:bCs/>
    </w:rPr>
  </w:style>
  <w:style w:type="paragraph" w:styleId="643">
    <w:name w:val="Заголовок 6"/>
    <w:basedOn w:val="637"/>
    <w:next w:val="637"/>
    <w:link w:val="637"/>
    <w:qFormat/>
    <w:pPr>
      <w:ind w:left="360"/>
      <w:jc w:val="both"/>
      <w:keepNext/>
      <w:spacing w:before="120" w:line="220" w:lineRule="exact"/>
      <w:outlineLvl w:val="5"/>
    </w:pPr>
    <w:rPr>
      <w:b/>
      <w:bCs/>
    </w:rPr>
  </w:style>
  <w:style w:type="paragraph" w:styleId="644">
    <w:name w:val="Заголовок 7"/>
    <w:basedOn w:val="637"/>
    <w:next w:val="637"/>
    <w:link w:val="637"/>
    <w:qFormat/>
    <w:pPr>
      <w:ind w:left="72"/>
      <w:jc w:val="both"/>
      <w:keepNext/>
      <w:spacing w:before="120" w:line="220" w:lineRule="exact"/>
      <w:outlineLvl w:val="6"/>
    </w:pPr>
    <w:rPr>
      <w:b/>
      <w:bCs/>
    </w:rPr>
  </w:style>
  <w:style w:type="paragraph" w:styleId="645">
    <w:name w:val="Заголовок 8"/>
    <w:basedOn w:val="637"/>
    <w:next w:val="637"/>
    <w:link w:val="637"/>
    <w:qFormat/>
    <w:pPr>
      <w:jc w:val="center"/>
      <w:keepNext/>
      <w:spacing w:before="40" w:after="40"/>
      <w:outlineLvl w:val="7"/>
    </w:pPr>
    <w:rPr>
      <w:b/>
      <w:bCs/>
    </w:rPr>
  </w:style>
  <w:style w:type="paragraph" w:styleId="646">
    <w:name w:val="Заголовок 9"/>
    <w:basedOn w:val="637"/>
    <w:next w:val="637"/>
    <w:link w:val="637"/>
    <w:qFormat/>
    <w:pPr>
      <w:keepNext/>
      <w:outlineLvl w:val="8"/>
    </w:pPr>
  </w:style>
  <w:style w:type="character" w:styleId="647">
    <w:name w:val="Основной шрифт абзаца"/>
    <w:next w:val="647"/>
    <w:link w:val="637"/>
    <w:semiHidden/>
  </w:style>
  <w:style w:type="table" w:styleId="648">
    <w:name w:val="Обычная таблица"/>
    <w:next w:val="648"/>
    <w:link w:val="637"/>
    <w:semiHidden/>
    <w:tblPr/>
  </w:style>
  <w:style w:type="numbering" w:styleId="649">
    <w:name w:val="Нет списка"/>
    <w:next w:val="649"/>
    <w:link w:val="637"/>
    <w:semiHidden/>
  </w:style>
  <w:style w:type="paragraph" w:styleId="650">
    <w:name w:val="headingsmall"/>
    <w:basedOn w:val="637"/>
    <w:next w:val="650"/>
    <w:link w:val="637"/>
    <w:pPr>
      <w:spacing w:before="100" w:beforeAutospacing="1" w:after="100" w:afterAutospacing="1"/>
    </w:pPr>
    <w:rPr>
      <w:rFonts w:ascii="Verdana" w:hAnsi="Verdana"/>
      <w:b/>
      <w:bCs/>
    </w:rPr>
  </w:style>
  <w:style w:type="paragraph" w:styleId="651">
    <w:name w:val="Обычный (веб)"/>
    <w:basedOn w:val="637"/>
    <w:next w:val="651"/>
    <w:link w:val="637"/>
    <w:pPr>
      <w:spacing w:before="100" w:beforeAutospacing="1" w:after="100" w:afterAutospacing="1"/>
    </w:pPr>
  </w:style>
  <w:style w:type="character" w:styleId="652">
    <w:name w:val="Строгий"/>
    <w:next w:val="652"/>
    <w:link w:val="637"/>
    <w:uiPriority w:val="22"/>
    <w:qFormat/>
    <w:rPr>
      <w:b/>
      <w:bCs/>
    </w:rPr>
  </w:style>
  <w:style w:type="character" w:styleId="653">
    <w:name w:val="EmailStyle18"/>
    <w:next w:val="653"/>
    <w:link w:val="637"/>
    <w:rPr>
      <w:rFonts w:ascii="Arial" w:hAnsi="Arial" w:cs="Arial"/>
      <w:color w:val="000000"/>
      <w:sz w:val="20"/>
      <w:szCs w:val="20"/>
    </w:rPr>
  </w:style>
  <w:style w:type="paragraph" w:styleId="654">
    <w:name w:val="Название"/>
    <w:basedOn w:val="637"/>
    <w:next w:val="654"/>
    <w:link w:val="637"/>
    <w:qFormat/>
    <w:pPr>
      <w:jc w:val="center"/>
    </w:pPr>
    <w:rPr>
      <w:b/>
      <w:bCs/>
      <w:u w:val="single"/>
    </w:rPr>
  </w:style>
  <w:style w:type="paragraph" w:styleId="655">
    <w:name w:val="Текст сноски"/>
    <w:basedOn w:val="637"/>
    <w:next w:val="655"/>
    <w:link w:val="637"/>
    <w:semiHidden/>
    <w:pPr>
      <w:spacing w:before="100" w:after="100"/>
    </w:pPr>
    <w:rPr>
      <w:sz w:val="20"/>
      <w:szCs w:val="20"/>
    </w:rPr>
  </w:style>
  <w:style w:type="character" w:styleId="656">
    <w:name w:val="Гиперссылка"/>
    <w:next w:val="656"/>
    <w:link w:val="637"/>
    <w:rPr>
      <w:color w:val="0000ff"/>
      <w:u w:val="single"/>
    </w:rPr>
  </w:style>
  <w:style w:type="character" w:styleId="657">
    <w:name w:val="Просмотренная гиперссылка"/>
    <w:next w:val="657"/>
    <w:link w:val="637"/>
    <w:rPr>
      <w:color w:val="800080"/>
      <w:u w:val="single"/>
    </w:rPr>
  </w:style>
  <w:style w:type="paragraph" w:styleId="658">
    <w:name w:val="Основной текст"/>
    <w:basedOn w:val="637"/>
    <w:next w:val="658"/>
    <w:link w:val="637"/>
    <w:pPr>
      <w:jc w:val="both"/>
      <w:tabs>
        <w:tab w:val="num" w:pos="720" w:leader="none"/>
      </w:tabs>
    </w:pPr>
  </w:style>
  <w:style w:type="paragraph" w:styleId="659">
    <w:name w:val="Основной текст с отступом"/>
    <w:basedOn w:val="637"/>
    <w:next w:val="659"/>
    <w:link w:val="637"/>
    <w:pPr>
      <w:jc w:val="center"/>
    </w:pPr>
    <w:rPr>
      <w:sz w:val="22"/>
      <w:szCs w:val="22"/>
    </w:rPr>
  </w:style>
  <w:style w:type="paragraph" w:styleId="660">
    <w:name w:val="Основной текст с отступом 3"/>
    <w:basedOn w:val="637"/>
    <w:next w:val="660"/>
    <w:link w:val="637"/>
    <w:pPr>
      <w:ind w:left="-180"/>
      <w:jc w:val="both"/>
    </w:pPr>
    <w:rPr>
      <w:sz w:val="20"/>
      <w:szCs w:val="20"/>
    </w:rPr>
  </w:style>
  <w:style w:type="paragraph" w:styleId="661">
    <w:name w:val="Основной текст 2"/>
    <w:basedOn w:val="637"/>
    <w:next w:val="661"/>
    <w:link w:val="637"/>
    <w:pPr>
      <w:spacing w:before="120"/>
    </w:pPr>
    <w:rPr>
      <w:color w:val="000000"/>
      <w:sz w:val="22"/>
    </w:rPr>
  </w:style>
  <w:style w:type="paragraph" w:styleId="662">
    <w:name w:val="Название 2"/>
    <w:basedOn w:val="663"/>
    <w:next w:val="662"/>
    <w:link w:val="637"/>
    <w:pPr>
      <w:jc w:val="center"/>
    </w:pPr>
    <w:rPr>
      <w:bCs w:val="0"/>
      <w:smallCaps/>
      <w:sz w:val="24"/>
      <w:szCs w:val="24"/>
    </w:rPr>
  </w:style>
  <w:style w:type="paragraph" w:styleId="663">
    <w:name w:val="Название объекта"/>
    <w:basedOn w:val="637"/>
    <w:next w:val="637"/>
    <w:link w:val="637"/>
    <w:qFormat/>
    <w:pPr>
      <w:spacing w:before="120" w:after="120"/>
    </w:pPr>
    <w:rPr>
      <w:b/>
      <w:bCs/>
      <w:sz w:val="20"/>
      <w:szCs w:val="20"/>
    </w:rPr>
  </w:style>
  <w:style w:type="paragraph" w:styleId="664">
    <w:name w:val="Прогр_тема"/>
    <w:basedOn w:val="637"/>
    <w:next w:val="664"/>
    <w:link w:val="637"/>
    <w:pPr>
      <w:spacing w:line="200" w:lineRule="exact"/>
    </w:pPr>
    <w:rPr>
      <w:b/>
      <w:sz w:val="20"/>
      <w:szCs w:val="20"/>
    </w:rPr>
  </w:style>
  <w:style w:type="table" w:styleId="665">
    <w:name w:val="Сетка таблицы"/>
    <w:basedOn w:val="648"/>
    <w:next w:val="665"/>
    <w:link w:val="637"/>
    <w:rPr>
      <w:lang w:bidi="ar-SA"/>
    </w:rPr>
    <w:tblPr/>
  </w:style>
  <w:style w:type="paragraph" w:styleId="666">
    <w:name w:val="contents"/>
    <w:basedOn w:val="637"/>
    <w:next w:val="666"/>
    <w:link w:val="637"/>
    <w:pPr>
      <w:spacing w:before="100" w:beforeAutospacing="1" w:after="100" w:afterAutospacing="1"/>
    </w:pPr>
    <w:rPr>
      <w:rFonts w:ascii="Verdana" w:hAnsi="Verdana"/>
      <w:color w:val="333333"/>
      <w:sz w:val="17"/>
      <w:szCs w:val="17"/>
    </w:rPr>
  </w:style>
  <w:style w:type="paragraph" w:styleId="667">
    <w:name w:val="ФИО"/>
    <w:basedOn w:val="643"/>
    <w:next w:val="667"/>
    <w:link w:val="637"/>
    <w:pPr>
      <w:ind w:left="0"/>
      <w:spacing w:before="0" w:after="200" w:line="240" w:lineRule="auto"/>
    </w:pPr>
    <w:rPr>
      <w:b w:val="0"/>
      <w:bCs w:val="0"/>
      <w:sz w:val="19"/>
    </w:rPr>
  </w:style>
  <w:style w:type="character" w:styleId="668">
    <w:name w:val="Знак сноски"/>
    <w:next w:val="668"/>
    <w:link w:val="637"/>
    <w:uiPriority w:val="99"/>
    <w:semiHidden/>
    <w:unhideWhenUsed/>
    <w:rPr>
      <w:vertAlign w:val="superscript"/>
    </w:rPr>
  </w:style>
  <w:style w:type="paragraph" w:styleId="669">
    <w:name w:val="Текст выноски"/>
    <w:basedOn w:val="637"/>
    <w:next w:val="669"/>
    <w:link w:val="670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670">
    <w:name w:val="Текст выноски Знак"/>
    <w:next w:val="670"/>
    <w:link w:val="669"/>
    <w:uiPriority w:val="99"/>
    <w:semiHidden/>
    <w:rPr>
      <w:rFonts w:ascii="Segoe UI" w:hAnsi="Segoe UI" w:cs="Segoe UI"/>
      <w:sz w:val="18"/>
      <w:szCs w:val="18"/>
    </w:rPr>
  </w:style>
  <w:style w:type="character" w:styleId="1468" w:default="1">
    <w:name w:val="Default Paragraph Font"/>
    <w:uiPriority w:val="1"/>
    <w:semiHidden/>
    <w:unhideWhenUsed/>
  </w:style>
  <w:style w:type="numbering" w:styleId="1469" w:default="1">
    <w:name w:val="No List"/>
    <w:uiPriority w:val="99"/>
    <w:semiHidden/>
    <w:unhideWhenUsed/>
  </w:style>
  <w:style w:type="table" w:styleId="1470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>ECC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Секция 1</dc:title>
  <dc:creator>NatalyZ</dc:creator>
  <cp:lastModifiedBy>Анастасия Лисицына</cp:lastModifiedBy>
  <cp:revision>3</cp:revision>
  <dcterms:created xsi:type="dcterms:W3CDTF">2026-10-02T10:26:00Z</dcterms:created>
  <dcterms:modified xsi:type="dcterms:W3CDTF">2026-10-05T08:05:20Z</dcterms:modified>
  <cp:version>1048576</cp:version>
</cp:coreProperties>
</file>