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BBA" w:rsidRDefault="002F6BBA">
      <w:pPr>
        <w:ind w:left="-180" w:right="-365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>
        <w:pict>
          <v:shape id="_x0000_i0" o:spid="_x0000_i1025" type="#_x0000_t75" style="width:467.55pt;height:47.1pt;mso-wrap-distance-left:0;mso-wrap-distance-top:0;mso-wrap-distance-right:0;mso-wrap-distance-bottom:0">
            <v:imagedata r:id="rId7" o:title=""/>
            <v:path textboxrect="0,0,0,0"/>
          </v:shape>
        </w:pict>
      </w:r>
    </w:p>
    <w:p w:rsidR="002F6BBA" w:rsidRDefault="002F6BBA">
      <w:pPr>
        <w:ind w:left="-180" w:right="-365"/>
      </w:pPr>
    </w:p>
    <w:p w:rsidR="002F6BBA" w:rsidRDefault="004012F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Курс повышения квалификации</w:t>
      </w:r>
    </w:p>
    <w:p w:rsidR="002F6BBA" w:rsidRDefault="004012F3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«Эмиссия долговых и долевых ценных бумаг»</w:t>
      </w:r>
    </w:p>
    <w:p w:rsidR="002F6BBA" w:rsidRDefault="002F6BBA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2F6BBA" w:rsidRDefault="004012F3">
      <w:pPr>
        <w:jc w:val="center"/>
        <w:rPr>
          <w:b/>
          <w:bCs/>
        </w:rPr>
      </w:pPr>
      <w:r>
        <w:rPr>
          <w:b/>
          <w:bCs/>
        </w:rPr>
        <w:t>30 ноября</w:t>
      </w:r>
      <w:bookmarkStart w:id="0" w:name="_GoBack"/>
      <w:bookmarkEnd w:id="0"/>
      <w:r>
        <w:rPr>
          <w:b/>
          <w:bCs/>
        </w:rPr>
        <w:t xml:space="preserve"> – 11 декабря 2026 г.</w:t>
      </w:r>
    </w:p>
    <w:p w:rsidR="002F6BBA" w:rsidRDefault="002F6BBA">
      <w:pPr>
        <w:jc w:val="both"/>
        <w:rPr>
          <w:rFonts w:eastAsia="Calibri"/>
          <w:lang w:eastAsia="en-US"/>
        </w:rPr>
      </w:pPr>
    </w:p>
    <w:p w:rsidR="002F6BBA" w:rsidRDefault="004012F3">
      <w:pPr>
        <w:ind w:left="567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О курсе</w:t>
      </w:r>
    </w:p>
    <w:p w:rsidR="002F6BBA" w:rsidRDefault="004012F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Курс охватывае</w:t>
      </w:r>
      <w:r>
        <w:rPr>
          <w:rFonts w:eastAsia="Calibri"/>
          <w:lang w:eastAsia="en-US"/>
        </w:rPr>
        <w:t>т ключевые вопросы выхода и деятельности предприятия на рынке капитала, практические вопросы эмиссии облигаций и акций с использованием современной инфраструктуры финансового рынка, в том числе размещение ценных бумаг с применением инвестиционных платформ.</w:t>
      </w:r>
    </w:p>
    <w:p w:rsidR="002F6BBA" w:rsidRDefault="004012F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Уникальность курса заключается в его практико-ориентированности, позволяющей слушателям овладеть как стратегическими, так и необходимыми прикладными вопросами привлечения инвестиций через размещение ценных бумаг.</w:t>
      </w:r>
    </w:p>
    <w:p w:rsidR="002F6BBA" w:rsidRDefault="004012F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Теоретические и практические занятия прово</w:t>
      </w:r>
      <w:r>
        <w:rPr>
          <w:rFonts w:eastAsia="Calibri"/>
          <w:lang w:eastAsia="en-US"/>
        </w:rPr>
        <w:t>дят специалисты с многолетней профильной практикой работы в инфраструктурных организациях (Московской Бирже, НКО АО НРД, регистраторах), инвестиционных компаниях, выступающих организаторами размещений ценных бумаг.</w:t>
      </w:r>
    </w:p>
    <w:p w:rsidR="002F6BBA" w:rsidRDefault="004012F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Тематика обучения включает все этапы прив</w:t>
      </w:r>
      <w:r>
        <w:rPr>
          <w:rFonts w:eastAsia="Calibri"/>
          <w:lang w:eastAsia="en-US"/>
        </w:rPr>
        <w:t>лечения финансирования на рынке ценных бумаг: выбор инструментов, оценка возможностей и стоимости фондирования, подготовка эмиссионной документации, процедуры размещения ценных бумаг, в том числе на организованном рынке.</w:t>
      </w:r>
    </w:p>
    <w:p w:rsidR="002F6BBA" w:rsidRDefault="004012F3">
      <w:pPr>
        <w:ind w:firstLine="567"/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Значительное внимание уделяются воп</w:t>
      </w:r>
      <w:r>
        <w:rPr>
          <w:rFonts w:eastAsia="Calibri"/>
          <w:i/>
          <w:lang w:eastAsia="en-US"/>
        </w:rPr>
        <w:t>росам, которые нередко остаются для эмитентов «за кадром» и мешают эффективной реализации проектов: детали подготовки эмиссионной документации.</w:t>
      </w:r>
    </w:p>
    <w:p w:rsidR="002F6BBA" w:rsidRDefault="002F6BBA">
      <w:pPr>
        <w:ind w:firstLine="567"/>
        <w:jc w:val="both"/>
        <w:rPr>
          <w:rFonts w:eastAsia="Calibri"/>
          <w:lang w:eastAsia="en-US"/>
        </w:rPr>
      </w:pPr>
    </w:p>
    <w:p w:rsidR="002F6BBA" w:rsidRDefault="004012F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Цель обучения</w:t>
      </w:r>
      <w:r>
        <w:rPr>
          <w:rFonts w:eastAsia="Calibri"/>
          <w:lang w:eastAsia="en-US"/>
        </w:rPr>
        <w:t xml:space="preserve"> — систематизировать и получить новые компетенции в области размещения ценных бумаг, на всех этапа</w:t>
      </w:r>
      <w:r>
        <w:rPr>
          <w:rFonts w:eastAsia="Calibri"/>
          <w:lang w:eastAsia="en-US"/>
        </w:rPr>
        <w:t>х эмиссии долговых и долевых ценных бумаг.</w:t>
      </w:r>
    </w:p>
    <w:p w:rsidR="002F6BBA" w:rsidRDefault="002F6BBA">
      <w:pPr>
        <w:ind w:left="567"/>
        <w:jc w:val="both"/>
        <w:rPr>
          <w:rFonts w:eastAsia="Calibri"/>
          <w:lang w:eastAsia="en-US"/>
        </w:rPr>
      </w:pPr>
    </w:p>
    <w:p w:rsidR="002F6BBA" w:rsidRDefault="004012F3">
      <w:pPr>
        <w:ind w:left="567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Целевая аудитория</w:t>
      </w:r>
    </w:p>
    <w:p w:rsidR="002F6BBA" w:rsidRDefault="004012F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Представители организаций, планирующих размещение ценных бумаг, действующих эмитентов, финансовых посредников и инфраструктурных организаций, органов государственного и муниципального управления</w:t>
      </w:r>
      <w:r>
        <w:rPr>
          <w:rFonts w:eastAsia="Calibri"/>
          <w:lang w:eastAsia="en-US"/>
        </w:rPr>
        <w:t xml:space="preserve"> (в том числе имеющих права осуществлять эмиссию государственных, муниципальных ценных бумаг): руководители, юристы, финансовые менеджеры, финансовые и инвестиционные аналитики и др.</w:t>
      </w:r>
    </w:p>
    <w:p w:rsidR="002F6BBA" w:rsidRDefault="002F6BBA">
      <w:pPr>
        <w:ind w:firstLine="567"/>
        <w:jc w:val="both"/>
        <w:rPr>
          <w:rFonts w:eastAsia="Calibri"/>
          <w:lang w:eastAsia="en-US"/>
        </w:rPr>
      </w:pPr>
    </w:p>
    <w:p w:rsidR="002F6BBA" w:rsidRDefault="004012F3">
      <w:pPr>
        <w:ind w:left="567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Планируемые результаты обучения:</w:t>
      </w:r>
    </w:p>
    <w:p w:rsidR="002F6BBA" w:rsidRDefault="004012F3">
      <w:pPr>
        <w:numPr>
          <w:ilvl w:val="0"/>
          <w:numId w:val="42"/>
        </w:numPr>
        <w:ind w:left="1134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знать особенности эмиссии основных видо</w:t>
      </w:r>
      <w:r>
        <w:rPr>
          <w:rFonts w:eastAsia="Calibri"/>
          <w:lang w:eastAsia="en-US"/>
        </w:rPr>
        <w:t>в долговых и долевых ценных бумаг;</w:t>
      </w:r>
    </w:p>
    <w:p w:rsidR="002F6BBA" w:rsidRDefault="004012F3">
      <w:pPr>
        <w:numPr>
          <w:ilvl w:val="0"/>
          <w:numId w:val="42"/>
        </w:numPr>
        <w:ind w:left="1134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выбирать виды ценных бумаг для размещения в зависимости от категории эмитента и его задач;</w:t>
      </w:r>
    </w:p>
    <w:p w:rsidR="002F6BBA" w:rsidRDefault="004012F3">
      <w:pPr>
        <w:numPr>
          <w:ilvl w:val="0"/>
          <w:numId w:val="42"/>
        </w:numPr>
        <w:ind w:left="1134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оценивать стоимость фондирования;</w:t>
      </w:r>
    </w:p>
    <w:p w:rsidR="002F6BBA" w:rsidRDefault="004012F3">
      <w:pPr>
        <w:numPr>
          <w:ilvl w:val="0"/>
          <w:numId w:val="42"/>
        </w:numPr>
        <w:ind w:left="1134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уметь планировать и осуществлять процедуры эмиссии облигаций;</w:t>
      </w:r>
    </w:p>
    <w:p w:rsidR="002F6BBA" w:rsidRDefault="004012F3">
      <w:pPr>
        <w:numPr>
          <w:ilvl w:val="0"/>
          <w:numId w:val="42"/>
        </w:numPr>
        <w:ind w:left="1134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уметь планировать и осуществлять процедуры эмиссии акций;</w:t>
      </w:r>
    </w:p>
    <w:p w:rsidR="002F6BBA" w:rsidRDefault="004012F3">
      <w:pPr>
        <w:numPr>
          <w:ilvl w:val="0"/>
          <w:numId w:val="42"/>
        </w:numPr>
        <w:ind w:left="1134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уметь управлять подготовкой эмиссионной документации и участвовать в разработке эмиссионных документов;</w:t>
      </w:r>
    </w:p>
    <w:p w:rsidR="002F6BBA" w:rsidRDefault="004012F3">
      <w:pPr>
        <w:numPr>
          <w:ilvl w:val="0"/>
          <w:numId w:val="42"/>
        </w:numPr>
        <w:ind w:left="1134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знать процедуры и особенности публичного размещения ценных бумаг;</w:t>
      </w:r>
    </w:p>
    <w:p w:rsidR="002F6BBA" w:rsidRDefault="004012F3">
      <w:pPr>
        <w:numPr>
          <w:ilvl w:val="0"/>
          <w:numId w:val="42"/>
        </w:numPr>
        <w:ind w:left="1134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знать и уметь применять акту</w:t>
      </w:r>
      <w:r>
        <w:rPr>
          <w:rFonts w:eastAsia="Calibri"/>
          <w:lang w:eastAsia="en-US"/>
        </w:rPr>
        <w:t>альную практику размещения ценных бумаг;</w:t>
      </w:r>
    </w:p>
    <w:p w:rsidR="002F6BBA" w:rsidRDefault="004012F3">
      <w:pPr>
        <w:numPr>
          <w:ilvl w:val="0"/>
          <w:numId w:val="42"/>
        </w:numPr>
        <w:ind w:left="1134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знать процедуры и уметь организовывать подготовку выпусков «классических», биржевых, коммерческих облигаций;</w:t>
      </w:r>
    </w:p>
    <w:p w:rsidR="002F6BBA" w:rsidRDefault="004012F3">
      <w:pPr>
        <w:numPr>
          <w:ilvl w:val="0"/>
          <w:numId w:val="42"/>
        </w:numPr>
        <w:ind w:left="1134" w:hanging="425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уметь организовывать размещение ценных бумаг с использованием инвестиционной платформы.</w:t>
      </w:r>
    </w:p>
    <w:p w:rsidR="002F6BBA" w:rsidRDefault="002F6BBA">
      <w:pPr>
        <w:ind w:left="709" w:hanging="709"/>
        <w:jc w:val="both"/>
        <w:rPr>
          <w:rFonts w:eastAsia="Calibri"/>
          <w:lang w:eastAsia="en-US"/>
        </w:rPr>
      </w:pPr>
    </w:p>
    <w:p w:rsidR="002F6BBA" w:rsidRDefault="004012F3">
      <w:pPr>
        <w:ind w:left="567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Продолжительность</w:t>
      </w:r>
      <w:r>
        <w:rPr>
          <w:rFonts w:eastAsia="Calibri"/>
          <w:b/>
          <w:lang w:eastAsia="en-US"/>
        </w:rPr>
        <w:t xml:space="preserve"> обучения, расписание занятий</w:t>
      </w:r>
    </w:p>
    <w:p w:rsidR="002F6BBA" w:rsidRDefault="004012F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Общая продолжительность обучения составляет 20 академических часов: 5 занятий по 4 академических часа — очное обучение в аудитории (возможно онлайн-участие).</w:t>
      </w:r>
    </w:p>
    <w:p w:rsidR="002F6BBA" w:rsidRDefault="004012F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Занятия проводятся в утреннее время: с 10.00 до 13.15 мск (с перерыв</w:t>
      </w:r>
      <w:r>
        <w:rPr>
          <w:rFonts w:eastAsia="Calibri"/>
          <w:lang w:eastAsia="en-US"/>
        </w:rPr>
        <w:t>ом 15 мин: 11.30-11.45).</w:t>
      </w:r>
    </w:p>
    <w:p w:rsidR="002F6BBA" w:rsidRDefault="004012F3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Расписание занятий публикуется на сайте АНО «ИДПО МФЦ» или направляется по запросу.</w:t>
      </w:r>
    </w:p>
    <w:p w:rsidR="002F6BBA" w:rsidRDefault="002F6BBA">
      <w:pPr>
        <w:jc w:val="both"/>
        <w:rPr>
          <w:rFonts w:eastAsia="Calibri"/>
          <w:lang w:eastAsia="en-US"/>
        </w:rPr>
      </w:pPr>
    </w:p>
    <w:p w:rsidR="002F6BBA" w:rsidRDefault="004012F3">
      <w:pPr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Структура курса (учебно-тематический план)</w:t>
      </w:r>
    </w:p>
    <w:p w:rsidR="002F6BBA" w:rsidRDefault="002F6BBA">
      <w:pPr>
        <w:jc w:val="both"/>
        <w:rPr>
          <w:rFonts w:eastAsia="Calibri"/>
          <w:lang w:eastAsia="en-US"/>
        </w:rPr>
      </w:pPr>
    </w:p>
    <w:p w:rsidR="002F6BBA" w:rsidRDefault="004012F3">
      <w:pPr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Открытие курса</w:t>
      </w:r>
    </w:p>
    <w:p w:rsidR="002F6BBA" w:rsidRDefault="004012F3">
      <w:pPr>
        <w:rPr>
          <w:rFonts w:eastAsia="Calibri"/>
          <w:i/>
          <w:lang w:eastAsia="en-US"/>
        </w:rPr>
      </w:pPr>
      <w:r>
        <w:rPr>
          <w:rFonts w:eastAsia="Calibri"/>
          <w:b/>
          <w:lang w:eastAsia="en-US"/>
        </w:rPr>
        <w:t xml:space="preserve">1. Эмиссия ценных бумаг как источник фондирования для государства и бизнеса. </w:t>
      </w:r>
      <w:r w:rsidR="005F4311">
        <w:rPr>
          <w:rFonts w:eastAsia="Calibri"/>
          <w:i/>
          <w:lang w:eastAsia="en-US"/>
        </w:rPr>
        <w:t>1 </w:t>
      </w:r>
      <w:r>
        <w:rPr>
          <w:rFonts w:eastAsia="Calibri"/>
          <w:i/>
          <w:lang w:eastAsia="en-US"/>
        </w:rPr>
        <w:t>ак. час</w:t>
      </w:r>
    </w:p>
    <w:p w:rsidR="002F6BBA" w:rsidRDefault="004012F3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Эмиссионные и неэмиссионные ценные бумаги.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Виды и особенности эмиссионных ценных бумаг: акция, облигация, опцион эмитента, российская депозитарная расписка.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Особенности эмиссии и обращения государственных, муниципальных ценных бумаг.</w:t>
      </w:r>
    </w:p>
    <w:p w:rsidR="002F6BBA" w:rsidRDefault="004012F3">
      <w:pPr>
        <w:jc w:val="both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 xml:space="preserve">Ключевые показатели и </w:t>
      </w:r>
      <w:r>
        <w:rPr>
          <w:rFonts w:eastAsia="Calibri"/>
          <w:lang w:eastAsia="en-US"/>
        </w:rPr>
        <w:t>тренды выпуска государственных, муниципальных и корпоративных ценных бумаг (акций, облигаций) в Российской Федерации.</w:t>
      </w:r>
    </w:p>
    <w:p w:rsidR="002F6BBA" w:rsidRDefault="002F6BBA">
      <w:pPr>
        <w:jc w:val="both"/>
        <w:rPr>
          <w:rFonts w:eastAsia="Calibri"/>
          <w:i/>
          <w:lang w:eastAsia="en-US"/>
        </w:rPr>
      </w:pPr>
    </w:p>
    <w:p w:rsidR="002F6BBA" w:rsidRDefault="004012F3">
      <w:pPr>
        <w:jc w:val="both"/>
        <w:rPr>
          <w:rFonts w:eastAsia="Calibri"/>
          <w:i/>
          <w:lang w:eastAsia="en-US"/>
        </w:rPr>
      </w:pPr>
      <w:r>
        <w:rPr>
          <w:rFonts w:eastAsia="Calibri"/>
          <w:b/>
          <w:lang w:eastAsia="en-US"/>
        </w:rPr>
        <w:t xml:space="preserve">2.Плюсы и минусы различных видов ценных бумаг для разных групп эмитентов. </w:t>
      </w:r>
      <w:r w:rsidR="005F4311">
        <w:rPr>
          <w:rFonts w:eastAsia="Calibri"/>
          <w:i/>
          <w:lang w:eastAsia="en-US"/>
        </w:rPr>
        <w:t>1 ак. </w:t>
      </w:r>
      <w:r>
        <w:rPr>
          <w:rFonts w:eastAsia="Calibri"/>
          <w:i/>
          <w:lang w:eastAsia="en-US"/>
        </w:rPr>
        <w:t>час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Модели выхода и присутствия эмитентов на рынке капитала: от дебютных облигационных выпусков до публичного размещения акций (</w:t>
      </w:r>
      <w:r>
        <w:rPr>
          <w:rFonts w:eastAsia="Calibri"/>
          <w:lang w:val="en-US" w:eastAsia="en-US"/>
        </w:rPr>
        <w:t>IPO</w:t>
      </w:r>
      <w:r>
        <w:rPr>
          <w:rFonts w:eastAsia="Calibri"/>
          <w:lang w:eastAsia="en-US"/>
        </w:rPr>
        <w:t>) и увеличения доли акций в свободном обращении (free-float).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Преимущества, возможности и риски облигационных займов, эмиссии акц</w:t>
      </w:r>
      <w:r>
        <w:rPr>
          <w:rFonts w:eastAsia="Calibri"/>
          <w:lang w:eastAsia="en-US"/>
        </w:rPr>
        <w:t>ий для небольших и средних компаний.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Особенности присутствия на рынке капитала публичных и непубличных крупных компаний.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Факторы, определяющие готовность стать публичной компанией (факторы зрелости): стратегия, финансово-экономические показатели, финансова</w:t>
      </w:r>
      <w:r>
        <w:rPr>
          <w:rFonts w:eastAsia="Calibri"/>
          <w:lang w:eastAsia="en-US"/>
        </w:rPr>
        <w:t>я отчетность, корпоративное управление.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Опцион эмитента как инструмент мотивации и удержания ключевых сотрудников.</w:t>
      </w:r>
    </w:p>
    <w:p w:rsidR="002F6BBA" w:rsidRDefault="002F6BBA">
      <w:pPr>
        <w:jc w:val="both"/>
        <w:rPr>
          <w:rFonts w:eastAsia="Calibri"/>
          <w:i/>
          <w:lang w:eastAsia="en-US"/>
        </w:rPr>
      </w:pPr>
    </w:p>
    <w:p w:rsidR="002F6BBA" w:rsidRDefault="004012F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3. Оценка стоимости фондирования. </w:t>
      </w:r>
      <w:r>
        <w:rPr>
          <w:rFonts w:eastAsia="Calibri"/>
          <w:i/>
          <w:lang w:eastAsia="en-US"/>
        </w:rPr>
        <w:t>2 ак. часа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Сравнительный анализ кредитования и привлечения финансирования на фондовом рынке: доступность, </w:t>
      </w:r>
      <w:r>
        <w:rPr>
          <w:rFonts w:eastAsia="Calibri"/>
          <w:lang w:eastAsia="en-US"/>
        </w:rPr>
        <w:t>экономическая целесообразность, правовая среда (осуществление прав по ценным бумагам, исполнение обязанностей по ценным бумагам), факторы контроля за бизнесом, преимущества и риски.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Методики и примеры оценки стоимости фондирования при эмиссии долевых и дол</w:t>
      </w:r>
      <w:r>
        <w:rPr>
          <w:rFonts w:eastAsia="Calibri"/>
          <w:lang w:eastAsia="en-US"/>
        </w:rPr>
        <w:t>говых ценных бумаг (акций и облигаций).</w:t>
      </w:r>
    </w:p>
    <w:p w:rsidR="002F6BBA" w:rsidRDefault="004012F3">
      <w:pPr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 xml:space="preserve">Практическое занятие: </w:t>
      </w:r>
      <w:r>
        <w:rPr>
          <w:i/>
        </w:rPr>
        <w:t>рассмотрение примеров оценки стоимости фондирования.</w:t>
      </w:r>
    </w:p>
    <w:p w:rsidR="002F6BBA" w:rsidRDefault="002F6BBA">
      <w:pPr>
        <w:jc w:val="both"/>
        <w:rPr>
          <w:rFonts w:eastAsia="Calibri"/>
          <w:i/>
          <w:lang w:eastAsia="en-US"/>
        </w:rPr>
      </w:pPr>
    </w:p>
    <w:p w:rsidR="002F6BBA" w:rsidRDefault="004012F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4. Процедура эмиссии долговых ценных бумаг (облигаций). </w:t>
      </w:r>
      <w:r>
        <w:rPr>
          <w:rFonts w:eastAsia="Calibri"/>
          <w:i/>
          <w:lang w:eastAsia="en-US"/>
        </w:rPr>
        <w:t>4 ак. часа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Принятие решения о размещении облигаций.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Формирование и утверждение решен</w:t>
      </w:r>
      <w:r>
        <w:rPr>
          <w:rFonts w:eastAsia="Calibri"/>
          <w:lang w:eastAsia="en-US"/>
        </w:rPr>
        <w:t>ия о выпуске облигаций.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Регистрация выпуска облигаций.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>Требования к составлению и регистрации проспекта облигаций.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Программа облигаций и ее регистрация.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Требования и варианты размещения облигаций.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Отчет или уведомление об итогах выпуска облигаций.</w:t>
      </w:r>
    </w:p>
    <w:p w:rsidR="002F6BBA" w:rsidRDefault="004012F3">
      <w:pPr>
        <w:jc w:val="both"/>
        <w:rPr>
          <w:rFonts w:eastAsia="Calibri"/>
          <w:i/>
          <w:lang w:eastAsia="en-US"/>
        </w:rPr>
      </w:pPr>
      <w:r>
        <w:rPr>
          <w:rFonts w:eastAsia="Calibri"/>
          <w:lang w:eastAsia="en-US"/>
        </w:rPr>
        <w:t>Представ</w:t>
      </w:r>
      <w:r>
        <w:rPr>
          <w:rFonts w:eastAsia="Calibri"/>
          <w:lang w:eastAsia="en-US"/>
        </w:rPr>
        <w:t>итель владельцев облигаций.</w:t>
      </w:r>
    </w:p>
    <w:p w:rsidR="002F6BBA" w:rsidRDefault="004012F3">
      <w:pPr>
        <w:jc w:val="both"/>
        <w:rPr>
          <w:rFonts w:eastAsia="Calibri"/>
          <w:i/>
          <w:lang w:eastAsia="en-US"/>
        </w:rPr>
      </w:pPr>
      <w:r>
        <w:rPr>
          <w:i/>
        </w:rPr>
        <w:t>Практическое занятие: рассмотрение примеров облигационных выпусков и соответствующих этапов эмиссии: от принятия решения до завершения размещения.</w:t>
      </w:r>
    </w:p>
    <w:p w:rsidR="002F6BBA" w:rsidRDefault="002F6BBA">
      <w:pPr>
        <w:jc w:val="both"/>
        <w:rPr>
          <w:rFonts w:eastAsia="Calibri"/>
          <w:i/>
          <w:lang w:eastAsia="en-US"/>
        </w:rPr>
      </w:pPr>
    </w:p>
    <w:p w:rsidR="002F6BBA" w:rsidRDefault="004012F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5. Процедура эмиссии долевых ценных бумаг (акций). </w:t>
      </w:r>
      <w:r>
        <w:rPr>
          <w:rFonts w:eastAsia="Calibri"/>
          <w:i/>
          <w:lang w:eastAsia="en-US"/>
        </w:rPr>
        <w:t>4 ак. часа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Принятие решения о</w:t>
      </w:r>
      <w:r>
        <w:rPr>
          <w:rFonts w:eastAsia="Calibri"/>
          <w:lang w:eastAsia="en-US"/>
        </w:rPr>
        <w:t xml:space="preserve"> размещении акций.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Формирование и утверждение решения о выпуске акций.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Регистрация выпуска акций.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Особенности выпусков акций, подлежащих размещению при учреждении акционерных обществ; выпусков (дополнительных выпусков) акций непубличных акционерных обществ, размещаемых путем закрытой подписки с использованием инвестиционной платформы.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Требования к сост</w:t>
      </w:r>
      <w:r>
        <w:rPr>
          <w:rFonts w:eastAsia="Calibri"/>
          <w:lang w:eastAsia="en-US"/>
        </w:rPr>
        <w:t>авлению и регистрации проспекта акций.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Требования и варианты размещения акций.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Отчет или уведомление об итогах выпуска акций.</w:t>
      </w:r>
    </w:p>
    <w:p w:rsidR="002F6BBA" w:rsidRDefault="004012F3">
      <w:pPr>
        <w:jc w:val="both"/>
        <w:rPr>
          <w:i/>
        </w:rPr>
      </w:pPr>
      <w:r>
        <w:rPr>
          <w:rFonts w:eastAsia="Calibri"/>
          <w:i/>
          <w:lang w:eastAsia="en-US"/>
        </w:rPr>
        <w:t xml:space="preserve">Практические занятия: рассмотрение примеров выпусков акций и соответствующих этапов эмиссии: от принятия решения до завершения размещения; рассмотрение </w:t>
      </w:r>
      <w:r>
        <w:rPr>
          <w:i/>
        </w:rPr>
        <w:t>примеров признания выпусков (дополнительных выпусков) акций несостоявшимися.</w:t>
      </w:r>
    </w:p>
    <w:p w:rsidR="002F6BBA" w:rsidRDefault="002F6BBA">
      <w:pPr>
        <w:jc w:val="both"/>
        <w:rPr>
          <w:i/>
        </w:rPr>
      </w:pPr>
    </w:p>
    <w:p w:rsidR="002F6BBA" w:rsidRDefault="004012F3">
      <w:pPr>
        <w:jc w:val="both"/>
        <w:rPr>
          <w:b/>
        </w:rPr>
      </w:pPr>
      <w:r>
        <w:rPr>
          <w:b/>
        </w:rPr>
        <w:t xml:space="preserve">6. Особенности подготовки </w:t>
      </w:r>
      <w:r>
        <w:rPr>
          <w:b/>
        </w:rPr>
        <w:t xml:space="preserve">эмиссионной документации. </w:t>
      </w:r>
      <w:r>
        <w:rPr>
          <w:i/>
        </w:rPr>
        <w:t>2 ак. часа</w:t>
      </w:r>
    </w:p>
    <w:p w:rsidR="002F6BBA" w:rsidRDefault="004012F3">
      <w:pPr>
        <w:jc w:val="both"/>
      </w:pPr>
      <w:r>
        <w:t>Базовый состав эмиссионный документации и особенности ее подготовки в зависимости от вида и условий выпуска ценных бумаг.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t>Ключевые</w:t>
      </w:r>
      <w:r>
        <w:rPr>
          <w:rFonts w:eastAsia="Calibri"/>
          <w:lang w:eastAsia="en-US"/>
        </w:rPr>
        <w:t xml:space="preserve"> требования к решению о размещении ценных бумаг, решению о выпуске ценных бумаг, документ</w:t>
      </w:r>
      <w:r>
        <w:rPr>
          <w:rFonts w:eastAsia="Calibri"/>
          <w:lang w:eastAsia="en-US"/>
        </w:rPr>
        <w:t>у, содержащему условия размещения ценных бумаг (ДСУР), отчету об итогах выпуска (дополнительного выпуска) ценных бумаг/ уведомлению об итогах выпуска (дополнительного выпуска) ценных бумаг.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Возможности предварительного рассмотрения документов, необходимых </w:t>
      </w:r>
      <w:r>
        <w:rPr>
          <w:rFonts w:eastAsia="Calibri"/>
          <w:lang w:eastAsia="en-US"/>
        </w:rPr>
        <w:t>для государственной регистрации выпуска (дополнительного выпуска) ценных бумаг, предоставляемые Федеральным законом «О рынке ценных бумаг», нормативными актами Банка России.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Личный кабинет участника информационного обмена с Банком России. Программный проду</w:t>
      </w:r>
      <w:r>
        <w:rPr>
          <w:rFonts w:eastAsia="Calibri"/>
          <w:lang w:eastAsia="en-US"/>
        </w:rPr>
        <w:t>кт «Дельта» (расширение «ППЭД»).</w:t>
      </w:r>
    </w:p>
    <w:p w:rsidR="002F6BBA" w:rsidRDefault="004012F3">
      <w:pPr>
        <w:jc w:val="both"/>
      </w:pPr>
      <w:r>
        <w:rPr>
          <w:rFonts w:eastAsia="Calibri"/>
          <w:lang w:eastAsia="en-US"/>
        </w:rPr>
        <w:t xml:space="preserve">Внесение изменений в решение о выпуске ценных бумаг и (или) в зарегистрированный документ, содержащий условия размещения ценных </w:t>
      </w:r>
      <w:r>
        <w:t>бумаг, либо в проспект ценных бумаг.</w:t>
      </w:r>
    </w:p>
    <w:p w:rsidR="002F6BBA" w:rsidRDefault="004012F3">
      <w:pPr>
        <w:jc w:val="both"/>
        <w:rPr>
          <w:rFonts w:eastAsia="Calibri"/>
          <w:i/>
          <w:lang w:eastAsia="en-US"/>
        </w:rPr>
      </w:pPr>
      <w:r>
        <w:rPr>
          <w:i/>
        </w:rPr>
        <w:t>Практическое занятие: рассмотрение примеров эмиссионной до</w:t>
      </w:r>
      <w:r>
        <w:rPr>
          <w:i/>
        </w:rPr>
        <w:t>кументации с выявлением ошибок в ее составлении.</w:t>
      </w:r>
    </w:p>
    <w:p w:rsidR="002F6BBA" w:rsidRDefault="002F6BBA">
      <w:pPr>
        <w:jc w:val="both"/>
        <w:rPr>
          <w:rFonts w:eastAsia="Calibri"/>
          <w:lang w:eastAsia="en-US"/>
        </w:rPr>
      </w:pPr>
    </w:p>
    <w:p w:rsidR="002F6BBA" w:rsidRDefault="004012F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7. Инфраструктура рынка эмиссии ценных бумаг (биржи, организаторы, андеррайтеры, рейтинговые агентства и др.) </w:t>
      </w:r>
      <w:r>
        <w:rPr>
          <w:rFonts w:eastAsia="Calibri"/>
          <w:i/>
          <w:lang w:eastAsia="en-US"/>
        </w:rPr>
        <w:t>2 ак.часа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Допуск ценных бумаг к организованным торгам и другие функции, возможности бирж для эми</w:t>
      </w:r>
      <w:r>
        <w:rPr>
          <w:rFonts w:eastAsia="Calibri"/>
          <w:lang w:eastAsia="en-US"/>
        </w:rPr>
        <w:t>тентов, связанные с размещением и обращением ценных бумаг.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Роль брокеров, банков в процессе организации размещения ценных бумаг. Андеррайтинг. Финансовое консультирование эмитентов.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Рейтинги эмитентов и кредитные рейтинговые агентства. Программа создания а</w:t>
      </w:r>
      <w:r>
        <w:rPr>
          <w:rFonts w:eastAsia="Calibri"/>
          <w:lang w:eastAsia="en-US"/>
        </w:rPr>
        <w:t>кционерной стоимости, реализуемая Банком России и ПАО Московская Биржа.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Рынок публичных размещений ценных бумаг в России: тенденции, проблемы. </w:t>
      </w:r>
      <w:r>
        <w:rPr>
          <w:rFonts w:eastAsia="Calibri"/>
          <w:color w:val="121111"/>
          <w:spacing w:val="6"/>
          <w:shd w:val="clear" w:color="auto" w:fill="FFFFFF"/>
          <w:lang w:eastAsia="en-US"/>
        </w:rPr>
        <w:t>Изменения регулирования публичных размещений акций, инициированные Банком России в 2025 году.</w:t>
      </w:r>
    </w:p>
    <w:p w:rsidR="002F6BBA" w:rsidRDefault="002F6BBA">
      <w:pPr>
        <w:jc w:val="both"/>
        <w:rPr>
          <w:rFonts w:eastAsia="Calibri"/>
          <w:lang w:eastAsia="en-US"/>
        </w:rPr>
      </w:pPr>
    </w:p>
    <w:p w:rsidR="002F6BBA" w:rsidRDefault="004012F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8. Практические ке</w:t>
      </w:r>
      <w:r>
        <w:rPr>
          <w:rFonts w:eastAsia="Calibri"/>
          <w:b/>
          <w:lang w:eastAsia="en-US"/>
        </w:rPr>
        <w:t xml:space="preserve">йсы по выпуску ценных бумаг различными категориями эмитентов. </w:t>
      </w:r>
      <w:r>
        <w:rPr>
          <w:rFonts w:eastAsia="Calibri"/>
          <w:i/>
          <w:lang w:eastAsia="en-US"/>
        </w:rPr>
        <w:t>4 ак. часа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Выпуск классических облигаций с регистрацией решения о выпуске ценных бумаг в Банке России.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Выпуск биржевых облигаций (открытая подписка) с регистрацией выпуска в ПАО Московская Биржа</w:t>
      </w:r>
      <w:r>
        <w:rPr>
          <w:rFonts w:eastAsia="Calibri"/>
          <w:lang w:eastAsia="en-US"/>
        </w:rPr>
        <w:t xml:space="preserve"> с одновременным допуском к организованным торгам.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Выпуск коммерческих облигаций (закрытая подписка) с регистрацией выпуска в НКО АО НРД.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Дополнительный выпуск акций (закрытая подписка).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Дополнительный выпуск акций с размещением через инвестиционную платфо</w:t>
      </w:r>
      <w:r>
        <w:rPr>
          <w:rFonts w:eastAsia="Calibri"/>
          <w:lang w:eastAsia="en-US"/>
        </w:rPr>
        <w:t>рму.</w:t>
      </w:r>
    </w:p>
    <w:p w:rsidR="002F6BBA" w:rsidRDefault="004012F3">
      <w:pPr>
        <w:jc w:val="both"/>
        <w:rPr>
          <w:i/>
        </w:rPr>
      </w:pPr>
      <w:r>
        <w:rPr>
          <w:i/>
        </w:rPr>
        <w:t>Практические занятия: рассмотрение эмиссионных кейсов, в том числе из реальной практики, включая подготовку эмиссионной документации, совершение сделок по размещению как крупными, так и небольшими компаниями.</w:t>
      </w:r>
    </w:p>
    <w:p w:rsidR="002F6BBA" w:rsidRDefault="004012F3">
      <w:pPr>
        <w:jc w:val="both"/>
        <w:rPr>
          <w:rFonts w:eastAsia="Calibri"/>
          <w:i/>
          <w:lang w:eastAsia="en-US"/>
        </w:rPr>
      </w:pPr>
      <w:r>
        <w:rPr>
          <w:rFonts w:eastAsia="Calibri"/>
          <w:i/>
          <w:lang w:eastAsia="en-US"/>
        </w:rPr>
        <w:t>Закрытие курса. Подведение итогов обучения</w:t>
      </w:r>
      <w:r>
        <w:rPr>
          <w:rFonts w:eastAsia="Calibri"/>
          <w:i/>
          <w:lang w:eastAsia="en-US"/>
        </w:rPr>
        <w:t>.</w:t>
      </w:r>
    </w:p>
    <w:p w:rsidR="002F6BBA" w:rsidRDefault="002F6BBA">
      <w:pPr>
        <w:jc w:val="both"/>
        <w:rPr>
          <w:rFonts w:eastAsia="Calibri"/>
          <w:lang w:eastAsia="en-US"/>
        </w:rPr>
      </w:pPr>
    </w:p>
    <w:p w:rsidR="002F6BBA" w:rsidRDefault="004012F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Ключевые преподаватели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В проведении курса задействованы 5 высококвалифицированных преподавателей со значительным экспертным, практическим опытом в области эмиссии ценных бумаг, вывода и сопровождения эмитентов на рынке капитала: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Беляев Н.А.</w:t>
      </w:r>
      <w:r>
        <w:rPr>
          <w:rFonts w:eastAsia="Calibri"/>
          <w:lang w:eastAsia="en-US"/>
        </w:rPr>
        <w:t>, канд. экон. наук, ведущий преподаватель Института МФЦ, руководитель службы управления рисками инвестиционной компании;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Богатырев А.Д.</w:t>
      </w:r>
      <w:r>
        <w:rPr>
          <w:rFonts w:eastAsia="Calibri"/>
          <w:lang w:eastAsia="en-US"/>
        </w:rPr>
        <w:t>, канд. экон. наук, преподаватель Института МФЦ, заместитель генерального директора регистратора;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Волков И.Б.</w:t>
      </w:r>
      <w:r>
        <w:rPr>
          <w:rFonts w:eastAsia="Calibri"/>
          <w:lang w:eastAsia="en-US"/>
        </w:rPr>
        <w:t>, преподаватель Института МФЦ, руководитель направления сопровождения сделок инвестиционной компании;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представители </w:t>
      </w:r>
      <w:r>
        <w:rPr>
          <w:rFonts w:eastAsia="Calibri"/>
          <w:b/>
          <w:lang w:eastAsia="en-US"/>
        </w:rPr>
        <w:t>Московской Биржи, НКО АО НРД</w:t>
      </w:r>
      <w:r>
        <w:rPr>
          <w:rFonts w:eastAsia="Calibri"/>
          <w:lang w:eastAsia="en-US"/>
        </w:rPr>
        <w:t>.</w:t>
      </w:r>
    </w:p>
    <w:p w:rsidR="002F6BBA" w:rsidRDefault="002F6BBA">
      <w:pPr>
        <w:jc w:val="both"/>
        <w:rPr>
          <w:rFonts w:eastAsia="Calibri"/>
          <w:lang w:eastAsia="en-US"/>
        </w:rPr>
      </w:pPr>
    </w:p>
    <w:p w:rsidR="002F6BBA" w:rsidRDefault="004012F3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Документы о квалификации</w:t>
      </w:r>
    </w:p>
    <w:p w:rsidR="002F6BBA" w:rsidRDefault="004012F3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Каждому обучающемуся, завершившему обучение, Институт МФЦ выдает документ о квалифик</w:t>
      </w:r>
      <w:r>
        <w:rPr>
          <w:rFonts w:eastAsia="Calibri"/>
          <w:lang w:eastAsia="en-US"/>
        </w:rPr>
        <w:t>ации — удостоверение о повышении квалификации и заносит сведения о выданном документе в ФИС ФРДО Рособрнадзора.</w:t>
      </w:r>
    </w:p>
    <w:p w:rsidR="002F6BBA" w:rsidRDefault="002F6BBA">
      <w:pPr>
        <w:jc w:val="both"/>
        <w:rPr>
          <w:rFonts w:eastAsia="Calibri"/>
          <w:b/>
          <w:lang w:eastAsia="en-US"/>
        </w:rPr>
      </w:pPr>
    </w:p>
    <w:p w:rsidR="002F6BBA" w:rsidRDefault="004012F3">
      <w:pPr>
        <w:spacing w:line="240" w:lineRule="atLeast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Форма обучения</w:t>
      </w:r>
      <w:r>
        <w:rPr>
          <w:rFonts w:eastAsia="Calibri"/>
          <w:lang w:eastAsia="en-US"/>
        </w:rPr>
        <w:t xml:space="preserve">. Курс проходит очно в аудитории по адресу: Москва, ул. Буженинова, дом 30, стр.1, третий этаж. Обучающиеся могут присутствовать </w:t>
      </w:r>
      <w:r>
        <w:rPr>
          <w:rFonts w:eastAsia="Calibri"/>
          <w:lang w:eastAsia="en-US"/>
        </w:rPr>
        <w:t>как в аудитории, так и обучаться онлайн (по выбору обучающегося). Ссылка на трансляцию и (или) логин, пароль заблаговременно направляются на электронную почту слушателя, если слушатель участвует в обучение онлайн.</w:t>
      </w:r>
    </w:p>
    <w:p w:rsidR="002F6BBA" w:rsidRDefault="002F6BBA">
      <w:pPr>
        <w:spacing w:line="240" w:lineRule="atLeast"/>
        <w:ind w:right="-143"/>
        <w:jc w:val="both"/>
        <w:rPr>
          <w:rFonts w:eastAsia="Calibri"/>
          <w:b/>
          <w:lang w:eastAsia="en-US"/>
        </w:rPr>
      </w:pPr>
    </w:p>
    <w:p w:rsidR="002F6BBA" w:rsidRDefault="004012F3">
      <w:pPr>
        <w:spacing w:line="240" w:lineRule="atLeast"/>
        <w:ind w:right="-143"/>
        <w:jc w:val="both"/>
        <w:rPr>
          <w:color w:val="000000"/>
        </w:rPr>
      </w:pPr>
      <w:r>
        <w:rPr>
          <w:rFonts w:eastAsia="Calibri"/>
          <w:b/>
          <w:lang w:eastAsia="en-US"/>
        </w:rPr>
        <w:t>Доступ к учебным материалам</w:t>
      </w:r>
      <w:r>
        <w:rPr>
          <w:rFonts w:eastAsia="Calibri"/>
          <w:lang w:eastAsia="en-US"/>
        </w:rPr>
        <w:t xml:space="preserve">. Электронные </w:t>
      </w:r>
      <w:r>
        <w:rPr>
          <w:rFonts w:eastAsia="Calibri"/>
          <w:lang w:eastAsia="en-US"/>
        </w:rPr>
        <w:t>презентации, дополнительные материалы размещаются в личном электронном кабинете, формируемом для слушателя к началу курса.</w:t>
      </w:r>
    </w:p>
    <w:p w:rsidR="002F6BBA" w:rsidRDefault="002F6BBA">
      <w:pPr>
        <w:spacing w:line="240" w:lineRule="atLeast"/>
        <w:jc w:val="both"/>
        <w:rPr>
          <w:rFonts w:eastAsia="Calibri"/>
          <w:b/>
          <w:lang w:eastAsia="en-US"/>
        </w:rPr>
      </w:pPr>
    </w:p>
    <w:p w:rsidR="002F6BBA" w:rsidRDefault="004012F3">
      <w:pPr>
        <w:spacing w:line="240" w:lineRule="atLeast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Стоимость обучения.</w:t>
      </w:r>
      <w:r>
        <w:rPr>
          <w:rFonts w:eastAsia="Calibri"/>
          <w:lang w:eastAsia="en-US"/>
        </w:rPr>
        <w:t xml:space="preserve"> 45 000 (сорок пять тысяч) рублей за одного слушателя. Предоставляется скидка в размере 10%, начиная со второго с</w:t>
      </w:r>
      <w:r>
        <w:rPr>
          <w:rFonts w:eastAsia="Calibri"/>
          <w:lang w:eastAsia="en-US"/>
        </w:rPr>
        <w:t>лушателя от одной организации. Клиентам Института МФЦ, Учебного центра МФЦ предоставляется скидка в размере 15%. Предусмотрены дополнительные скидки (специальные цены) для корпоративных заказчиков.</w:t>
      </w:r>
    </w:p>
    <w:p w:rsidR="002F6BBA" w:rsidRDefault="002F6BBA">
      <w:pPr>
        <w:spacing w:line="240" w:lineRule="atLeast"/>
        <w:jc w:val="both"/>
        <w:rPr>
          <w:rFonts w:eastAsia="Calibri"/>
          <w:b/>
          <w:lang w:eastAsia="en-US"/>
        </w:rPr>
      </w:pPr>
    </w:p>
    <w:p w:rsidR="002F6BBA" w:rsidRDefault="004012F3">
      <w:pPr>
        <w:spacing w:line="240" w:lineRule="atLeast"/>
        <w:jc w:val="both"/>
        <w:rPr>
          <w:rFonts w:eastAsia="Calibri"/>
          <w:color w:val="0563C1"/>
          <w:u w:val="single"/>
          <w:lang w:val="en-US" w:eastAsia="en-US"/>
        </w:rPr>
      </w:pPr>
      <w:r>
        <w:rPr>
          <w:rFonts w:eastAsia="Calibri"/>
          <w:b/>
          <w:lang w:eastAsia="en-US"/>
        </w:rPr>
        <w:t>Запись на обучение</w:t>
      </w:r>
      <w:r>
        <w:rPr>
          <w:rFonts w:eastAsia="Calibri"/>
          <w:lang w:eastAsia="en-US"/>
        </w:rPr>
        <w:t>. По вопросам участия в обучении обраща</w:t>
      </w:r>
      <w:r>
        <w:rPr>
          <w:rFonts w:eastAsia="Calibri"/>
          <w:lang w:eastAsia="en-US"/>
        </w:rPr>
        <w:t xml:space="preserve">ться к Шуваевой Марии, </w:t>
      </w:r>
      <w:hyperlink r:id="rId8" w:tooltip="mailto:seminar2@educenter.ru" w:history="1">
        <w:r>
          <w:rPr>
            <w:rFonts w:eastAsia="Calibri"/>
            <w:color w:val="0563C1"/>
          </w:rPr>
          <w:t>seminar2@educenter.ru</w:t>
        </w:r>
      </w:hyperlink>
      <w:r>
        <w:rPr>
          <w:rFonts w:eastAsia="Calibri"/>
          <w:lang w:eastAsia="en-US"/>
        </w:rPr>
        <w:t xml:space="preserve"> или Махнович Инне, </w:t>
      </w:r>
      <w:hyperlink r:id="rId9" w:tooltip="mailto:seminar6@educenter.ru" w:history="1">
        <w:r>
          <w:rPr>
            <w:rFonts w:eastAsia="Calibri"/>
            <w:color w:val="0563C1"/>
            <w:u w:val="single"/>
            <w:lang w:val="en-US" w:eastAsia="en-US"/>
          </w:rPr>
          <w:t>seminar</w:t>
        </w:r>
        <w:r>
          <w:rPr>
            <w:rFonts w:eastAsia="Calibri"/>
            <w:color w:val="0563C1"/>
            <w:u w:val="single"/>
            <w:lang w:eastAsia="en-US"/>
          </w:rPr>
          <w:t>6@</w:t>
        </w:r>
        <w:r>
          <w:rPr>
            <w:rFonts w:eastAsia="Calibri"/>
            <w:color w:val="0563C1"/>
            <w:u w:val="single"/>
            <w:lang w:val="en-US" w:eastAsia="en-US"/>
          </w:rPr>
          <w:t>educenter</w:t>
        </w:r>
        <w:r>
          <w:rPr>
            <w:rFonts w:eastAsia="Calibri"/>
            <w:color w:val="0563C1"/>
            <w:u w:val="single"/>
            <w:lang w:eastAsia="en-US"/>
          </w:rPr>
          <w:t>.</w:t>
        </w:r>
        <w:r>
          <w:rPr>
            <w:rFonts w:eastAsia="Calibri"/>
            <w:color w:val="0563C1"/>
            <w:u w:val="single"/>
            <w:lang w:val="en-US" w:eastAsia="en-US"/>
          </w:rPr>
          <w:t>ru</w:t>
        </w:r>
      </w:hyperlink>
      <w:r>
        <w:rPr>
          <w:rFonts w:eastAsia="Calibri"/>
          <w:lang w:eastAsia="en-US"/>
        </w:rPr>
        <w:t>. Тел. +7-495-921</w:t>
      </w:r>
      <w:r>
        <w:rPr>
          <w:rFonts w:eastAsia="Calibri"/>
          <w:lang w:eastAsia="en-US"/>
        </w:rPr>
        <w:t xml:space="preserve">2273, сайт: </w:t>
      </w:r>
      <w:hyperlink r:id="rId10" w:tooltip="http://www.educenter.ru" w:history="1">
        <w:r>
          <w:rPr>
            <w:rFonts w:eastAsia="Calibri"/>
            <w:color w:val="0563C1"/>
            <w:u w:val="single"/>
            <w:lang w:eastAsia="en-US"/>
          </w:rPr>
          <w:t>www.</w:t>
        </w:r>
        <w:r>
          <w:rPr>
            <w:rFonts w:eastAsia="Calibri"/>
            <w:color w:val="0563C1"/>
            <w:u w:val="single"/>
            <w:lang w:val="en-US" w:eastAsia="en-US"/>
          </w:rPr>
          <w:t>educenter</w:t>
        </w:r>
        <w:r>
          <w:rPr>
            <w:rFonts w:eastAsia="Calibri"/>
            <w:color w:val="0563C1"/>
            <w:u w:val="single"/>
            <w:lang w:eastAsia="en-US"/>
          </w:rPr>
          <w:t>.</w:t>
        </w:r>
        <w:r>
          <w:rPr>
            <w:rFonts w:eastAsia="Calibri"/>
            <w:color w:val="0563C1"/>
            <w:u w:val="single"/>
            <w:lang w:val="en-US" w:eastAsia="en-US"/>
          </w:rPr>
          <w:t>ru</w:t>
        </w:r>
      </w:hyperlink>
    </w:p>
    <w:sectPr w:rsidR="002F6BBA" w:rsidSect="002F6BBA">
      <w:footerReference w:type="even" r:id="rId11"/>
      <w:footerReference w:type="default" r:id="rId12"/>
      <w:pgSz w:w="11906" w:h="16838"/>
      <w:pgMar w:top="993" w:right="849" w:bottom="1418" w:left="1620" w:header="0" w:footer="54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12F3" w:rsidRDefault="004012F3">
      <w:r>
        <w:separator/>
      </w:r>
    </w:p>
  </w:endnote>
  <w:endnote w:type="continuationSeparator" w:id="1">
    <w:p w:rsidR="004012F3" w:rsidRDefault="004012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BA" w:rsidRDefault="002F6BBA">
    <w:pPr>
      <w:pStyle w:val="Footer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 w:rsidR="004012F3">
      <w:rPr>
        <w:rStyle w:val="afb"/>
      </w:rPr>
      <w:instrText xml:space="preserve">PAGE  </w:instrText>
    </w:r>
    <w:r>
      <w:rPr>
        <w:rStyle w:val="afb"/>
      </w:rPr>
      <w:fldChar w:fldCharType="end"/>
    </w:r>
  </w:p>
  <w:p w:rsidR="002F6BBA" w:rsidRDefault="002F6BB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BBA" w:rsidRDefault="002F6BBA">
    <w:pPr>
      <w:pStyle w:val="Footer"/>
      <w:jc w:val="center"/>
    </w:pPr>
    <w:r>
      <w:fldChar w:fldCharType="begin"/>
    </w:r>
    <w:r w:rsidR="004012F3">
      <w:instrText>PAGE   \* MERGEFORMAT</w:instrText>
    </w:r>
    <w:r>
      <w:fldChar w:fldCharType="separate"/>
    </w:r>
    <w:r w:rsidR="005F4311">
      <w:rPr>
        <w:noProof/>
      </w:rPr>
      <w:t>4</w:t>
    </w:r>
    <w:r>
      <w:fldChar w:fldCharType="end"/>
    </w:r>
  </w:p>
  <w:p w:rsidR="002F6BBA" w:rsidRDefault="002F6BBA">
    <w:pPr>
      <w:pStyle w:val="Footer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12F3" w:rsidRDefault="004012F3">
      <w:r>
        <w:separator/>
      </w:r>
    </w:p>
  </w:footnote>
  <w:footnote w:type="continuationSeparator" w:id="1">
    <w:p w:rsidR="004012F3" w:rsidRDefault="004012F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23BB4"/>
    <w:multiLevelType w:val="hybridMultilevel"/>
    <w:tmpl w:val="B28EA924"/>
    <w:lvl w:ilvl="0" w:tplc="4E46688E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798C75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C447B7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310672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E4FC1B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BFADE5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9C4C79C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47EB1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184377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02A113A2"/>
    <w:multiLevelType w:val="hybridMultilevel"/>
    <w:tmpl w:val="AE48AB92"/>
    <w:lvl w:ilvl="0" w:tplc="ADDEBD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008042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240C623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668863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B3C9D5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382B44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CB2EF2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5B0B5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72C229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03EC2388"/>
    <w:multiLevelType w:val="hybridMultilevel"/>
    <w:tmpl w:val="AF42130A"/>
    <w:lvl w:ilvl="0" w:tplc="C15EA872">
      <w:start w:val="1"/>
      <w:numFmt w:val="bullet"/>
      <w:lvlText w:val=""/>
      <w:lvlJc w:val="left"/>
      <w:pPr>
        <w:ind w:left="755" w:hanging="360"/>
      </w:pPr>
      <w:rPr>
        <w:rFonts w:ascii="Symbol" w:hAnsi="Symbol"/>
      </w:rPr>
    </w:lvl>
    <w:lvl w:ilvl="1" w:tplc="D01C43C0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/>
      </w:rPr>
    </w:lvl>
    <w:lvl w:ilvl="2" w:tplc="A8822086">
      <w:start w:val="1"/>
      <w:numFmt w:val="bullet"/>
      <w:lvlText w:val=""/>
      <w:lvlJc w:val="left"/>
      <w:pPr>
        <w:ind w:left="2195" w:hanging="360"/>
      </w:pPr>
      <w:rPr>
        <w:rFonts w:ascii="Wingdings" w:hAnsi="Wingdings"/>
      </w:rPr>
    </w:lvl>
    <w:lvl w:ilvl="3" w:tplc="191A3BF4">
      <w:start w:val="1"/>
      <w:numFmt w:val="bullet"/>
      <w:lvlText w:val=""/>
      <w:lvlJc w:val="left"/>
      <w:pPr>
        <w:ind w:left="2915" w:hanging="360"/>
      </w:pPr>
      <w:rPr>
        <w:rFonts w:ascii="Symbol" w:hAnsi="Symbol"/>
      </w:rPr>
    </w:lvl>
    <w:lvl w:ilvl="4" w:tplc="737E4058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/>
      </w:rPr>
    </w:lvl>
    <w:lvl w:ilvl="5" w:tplc="E1C4C58E">
      <w:start w:val="1"/>
      <w:numFmt w:val="bullet"/>
      <w:lvlText w:val=""/>
      <w:lvlJc w:val="left"/>
      <w:pPr>
        <w:ind w:left="4355" w:hanging="360"/>
      </w:pPr>
      <w:rPr>
        <w:rFonts w:ascii="Wingdings" w:hAnsi="Wingdings"/>
      </w:rPr>
    </w:lvl>
    <w:lvl w:ilvl="6" w:tplc="60643086">
      <w:start w:val="1"/>
      <w:numFmt w:val="bullet"/>
      <w:lvlText w:val=""/>
      <w:lvlJc w:val="left"/>
      <w:pPr>
        <w:ind w:left="5075" w:hanging="360"/>
      </w:pPr>
      <w:rPr>
        <w:rFonts w:ascii="Symbol" w:hAnsi="Symbol"/>
      </w:rPr>
    </w:lvl>
    <w:lvl w:ilvl="7" w:tplc="DF5C461C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/>
      </w:rPr>
    </w:lvl>
    <w:lvl w:ilvl="8" w:tplc="0E760596">
      <w:start w:val="1"/>
      <w:numFmt w:val="bullet"/>
      <w:lvlText w:val=""/>
      <w:lvlJc w:val="left"/>
      <w:pPr>
        <w:ind w:left="6515" w:hanging="360"/>
      </w:pPr>
      <w:rPr>
        <w:rFonts w:ascii="Wingdings" w:hAnsi="Wingdings"/>
      </w:rPr>
    </w:lvl>
  </w:abstractNum>
  <w:abstractNum w:abstractNumId="3">
    <w:nsid w:val="078C3F41"/>
    <w:multiLevelType w:val="hybridMultilevel"/>
    <w:tmpl w:val="E53A76D6"/>
    <w:lvl w:ilvl="0" w:tplc="58425C60">
      <w:start w:val="1"/>
      <w:numFmt w:val="decimal"/>
      <w:lvlText w:val="%1)"/>
      <w:lvlJc w:val="left"/>
      <w:pPr>
        <w:ind w:left="927" w:hanging="360"/>
      </w:pPr>
    </w:lvl>
    <w:lvl w:ilvl="1" w:tplc="32869AF6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 w:tplc="74CC3C54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 w:tplc="B58EB220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 w:tplc="2C8EB5C0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 w:tplc="11287F80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 w:tplc="D26E61AA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 w:tplc="25F20884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 w:tplc="2760D040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4">
    <w:nsid w:val="07CE0E9E"/>
    <w:multiLevelType w:val="hybridMultilevel"/>
    <w:tmpl w:val="C89ED9BC"/>
    <w:lvl w:ilvl="0" w:tplc="8C8A2FE4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839C6DD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208B7D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AB48541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A8181CE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43E0529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BAE38A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7B41B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DFEFA2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0B76677B"/>
    <w:multiLevelType w:val="hybridMultilevel"/>
    <w:tmpl w:val="30C2C7AC"/>
    <w:lvl w:ilvl="0" w:tplc="995CF6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0D819D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1AE374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2647C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50B8A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0875D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49E839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96D6F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25AECC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B9A4D1D"/>
    <w:multiLevelType w:val="hybridMultilevel"/>
    <w:tmpl w:val="4536ADA2"/>
    <w:lvl w:ilvl="0" w:tplc="B98EFCFC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E3CA37E2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3A0A0B7C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D9FA0C0A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1C6CC16A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9EAE03A0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1D0C228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EE9EDA18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82BA8DA6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7">
    <w:nsid w:val="0C9260EA"/>
    <w:multiLevelType w:val="hybridMultilevel"/>
    <w:tmpl w:val="7DD4AB2E"/>
    <w:lvl w:ilvl="0" w:tplc="88EC26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E84F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EC817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748F1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E0C22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DE14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8841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CDAD59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D6E2A0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142371"/>
    <w:multiLevelType w:val="hybridMultilevel"/>
    <w:tmpl w:val="AC247026"/>
    <w:lvl w:ilvl="0" w:tplc="CF06CB0A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BC383DB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01B27BAE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3162EFC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72E89D8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C8E6CC70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9AE6E864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C5A4A01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3092CE08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9">
    <w:nsid w:val="16254BC7"/>
    <w:multiLevelType w:val="hybridMultilevel"/>
    <w:tmpl w:val="9CB414DE"/>
    <w:lvl w:ilvl="0" w:tplc="DFE25CDA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 w:tplc="71BA72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0A8CD67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972493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EFA704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1FA4402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65E1CF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BE7C258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C068E23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16864E07"/>
    <w:multiLevelType w:val="hybridMultilevel"/>
    <w:tmpl w:val="755E207E"/>
    <w:lvl w:ilvl="0" w:tplc="CCEE557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  <w:lvl w:ilvl="1" w:tplc="B9F6AA28">
      <w:start w:val="1"/>
      <w:numFmt w:val="decimal"/>
      <w:lvlText w:val="%2)"/>
      <w:lvlJc w:val="left"/>
      <w:pPr>
        <w:tabs>
          <w:tab w:val="num" w:pos="0"/>
        </w:tabs>
        <w:ind w:hanging="360"/>
      </w:pPr>
    </w:lvl>
    <w:lvl w:ilvl="2" w:tplc="2EAE262C">
      <w:start w:val="1"/>
      <w:numFmt w:val="decimal"/>
      <w:lvlText w:val="%3."/>
      <w:lvlJc w:val="left"/>
      <w:pPr>
        <w:tabs>
          <w:tab w:val="num" w:pos="900"/>
        </w:tabs>
        <w:ind w:left="900" w:hanging="360"/>
      </w:pPr>
    </w:lvl>
    <w:lvl w:ilvl="3" w:tplc="EE6AFAC8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4EAEFD98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52DE6054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0EDE2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9CDAE2E6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10CA5DAA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1">
    <w:nsid w:val="1C145B70"/>
    <w:multiLevelType w:val="hybridMultilevel"/>
    <w:tmpl w:val="3A763012"/>
    <w:lvl w:ilvl="0" w:tplc="AB3456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56E9EF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51471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44C6A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110E92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1F074F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FC24E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60C50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8C6AB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D700A6A"/>
    <w:multiLevelType w:val="hybridMultilevel"/>
    <w:tmpl w:val="6F08EDC2"/>
    <w:lvl w:ilvl="0" w:tplc="B526E9B4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25AED79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34F8A000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984C1ACE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98FA5B6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0DAE3D1A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70FCE30E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4B4AD914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8E76C92E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3">
    <w:nsid w:val="27CA32D3"/>
    <w:multiLevelType w:val="hybridMultilevel"/>
    <w:tmpl w:val="2076AEFC"/>
    <w:lvl w:ilvl="0" w:tplc="7FF8D2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30426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966593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E8BC03A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F7033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BB9CC29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D54A2AA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97AAFB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7AAB0C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>
    <w:nsid w:val="2B150EFA"/>
    <w:multiLevelType w:val="hybridMultilevel"/>
    <w:tmpl w:val="A3325F0A"/>
    <w:lvl w:ilvl="0" w:tplc="92FC4B3A">
      <w:start w:val="1"/>
      <w:numFmt w:val="decimal"/>
      <w:lvlText w:val="%1."/>
      <w:lvlJc w:val="left"/>
      <w:pPr>
        <w:ind w:left="720" w:hanging="360"/>
      </w:pPr>
    </w:lvl>
    <w:lvl w:ilvl="1" w:tplc="3D8CB1A2">
      <w:start w:val="1"/>
      <w:numFmt w:val="lowerLetter"/>
      <w:lvlText w:val="%2."/>
      <w:lvlJc w:val="left"/>
      <w:pPr>
        <w:ind w:left="1440" w:hanging="360"/>
      </w:pPr>
    </w:lvl>
    <w:lvl w:ilvl="2" w:tplc="26FAB66E">
      <w:start w:val="1"/>
      <w:numFmt w:val="lowerRoman"/>
      <w:lvlText w:val="%3."/>
      <w:lvlJc w:val="right"/>
      <w:pPr>
        <w:ind w:left="2160" w:hanging="180"/>
      </w:pPr>
    </w:lvl>
    <w:lvl w:ilvl="3" w:tplc="37785376">
      <w:start w:val="1"/>
      <w:numFmt w:val="decimal"/>
      <w:lvlText w:val="%4."/>
      <w:lvlJc w:val="left"/>
      <w:pPr>
        <w:ind w:left="2880" w:hanging="360"/>
      </w:pPr>
    </w:lvl>
    <w:lvl w:ilvl="4" w:tplc="42F402E2">
      <w:start w:val="1"/>
      <w:numFmt w:val="lowerLetter"/>
      <w:lvlText w:val="%5."/>
      <w:lvlJc w:val="left"/>
      <w:pPr>
        <w:ind w:left="3600" w:hanging="360"/>
      </w:pPr>
    </w:lvl>
    <w:lvl w:ilvl="5" w:tplc="F9EC53DC">
      <w:start w:val="1"/>
      <w:numFmt w:val="lowerRoman"/>
      <w:lvlText w:val="%6."/>
      <w:lvlJc w:val="right"/>
      <w:pPr>
        <w:ind w:left="4320" w:hanging="180"/>
      </w:pPr>
    </w:lvl>
    <w:lvl w:ilvl="6" w:tplc="A224ED3C">
      <w:start w:val="1"/>
      <w:numFmt w:val="decimal"/>
      <w:lvlText w:val="%7."/>
      <w:lvlJc w:val="left"/>
      <w:pPr>
        <w:ind w:left="5040" w:hanging="360"/>
      </w:pPr>
    </w:lvl>
    <w:lvl w:ilvl="7" w:tplc="DBC469A6">
      <w:start w:val="1"/>
      <w:numFmt w:val="lowerLetter"/>
      <w:lvlText w:val="%8."/>
      <w:lvlJc w:val="left"/>
      <w:pPr>
        <w:ind w:left="5760" w:hanging="360"/>
      </w:pPr>
    </w:lvl>
    <w:lvl w:ilvl="8" w:tplc="7700B164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0840149"/>
    <w:multiLevelType w:val="hybridMultilevel"/>
    <w:tmpl w:val="FB12A3CC"/>
    <w:lvl w:ilvl="0" w:tplc="6BFE8D54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66B473F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6F94EFF4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F8405980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EA4E66A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1E2E47B4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51AA70E2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293A234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41F22BBE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6">
    <w:nsid w:val="30AC7AD6"/>
    <w:multiLevelType w:val="hybridMultilevel"/>
    <w:tmpl w:val="67D4A184"/>
    <w:lvl w:ilvl="0" w:tplc="F52C2544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</w:lvl>
    <w:lvl w:ilvl="1" w:tplc="EC3C5F1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F78152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2C806E6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1004DA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F46FBC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9E635F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AF140AC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EF52D7A0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318919FC"/>
    <w:multiLevelType w:val="hybridMultilevel"/>
    <w:tmpl w:val="00225A9A"/>
    <w:lvl w:ilvl="0" w:tplc="4F78364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6BE07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A8B3C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A4DA3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32497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ECA8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BE38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B8CF0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9E03BF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6406AF9"/>
    <w:multiLevelType w:val="hybridMultilevel"/>
    <w:tmpl w:val="22D21404"/>
    <w:lvl w:ilvl="0" w:tplc="41D847D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974152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3948E98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EBC806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852D85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066F96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E608DA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95A52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7869CB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>
    <w:nsid w:val="3B4B66F9"/>
    <w:multiLevelType w:val="hybridMultilevel"/>
    <w:tmpl w:val="379A8FC2"/>
    <w:lvl w:ilvl="0" w:tplc="8BB057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2A646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1E8C437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146CDC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B80B38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142E28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D1263A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11242A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3F32AEE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>
    <w:nsid w:val="3BC23351"/>
    <w:multiLevelType w:val="hybridMultilevel"/>
    <w:tmpl w:val="E8E2DC2A"/>
    <w:lvl w:ilvl="0" w:tplc="FAB48646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CE60C70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123A7DEE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7C0665D4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FAB6A0F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CC0461AE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B9C8D930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A52E4162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A37093E2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1">
    <w:nsid w:val="48163254"/>
    <w:multiLevelType w:val="hybridMultilevel"/>
    <w:tmpl w:val="FD8A48FE"/>
    <w:lvl w:ilvl="0" w:tplc="D0E0B01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33CCE22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7AA0D274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3512803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6D4FB2A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260C0536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346EDF3E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DC23710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D71A96D0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9074AFF"/>
    <w:multiLevelType w:val="hybridMultilevel"/>
    <w:tmpl w:val="D3120424"/>
    <w:lvl w:ilvl="0" w:tplc="37320910">
      <w:start w:val="1"/>
      <w:numFmt w:val="decimal"/>
      <w:lvlText w:val="%1."/>
      <w:lvlJc w:val="left"/>
      <w:pPr>
        <w:ind w:left="720" w:hanging="360"/>
      </w:pPr>
    </w:lvl>
    <w:lvl w:ilvl="1" w:tplc="EDF09856">
      <w:start w:val="1"/>
      <w:numFmt w:val="lowerLetter"/>
      <w:lvlText w:val="%2."/>
      <w:lvlJc w:val="left"/>
      <w:pPr>
        <w:ind w:left="1440" w:hanging="360"/>
      </w:pPr>
    </w:lvl>
    <w:lvl w:ilvl="2" w:tplc="A094FB02">
      <w:start w:val="1"/>
      <w:numFmt w:val="lowerRoman"/>
      <w:lvlText w:val="%3."/>
      <w:lvlJc w:val="right"/>
      <w:pPr>
        <w:ind w:left="2160" w:hanging="180"/>
      </w:pPr>
    </w:lvl>
    <w:lvl w:ilvl="3" w:tplc="42AE6D90">
      <w:start w:val="1"/>
      <w:numFmt w:val="decimal"/>
      <w:lvlText w:val="%4."/>
      <w:lvlJc w:val="left"/>
      <w:pPr>
        <w:ind w:left="2880" w:hanging="360"/>
      </w:pPr>
    </w:lvl>
    <w:lvl w:ilvl="4" w:tplc="9BAE04D2">
      <w:start w:val="1"/>
      <w:numFmt w:val="lowerLetter"/>
      <w:lvlText w:val="%5."/>
      <w:lvlJc w:val="left"/>
      <w:pPr>
        <w:ind w:left="3600" w:hanging="360"/>
      </w:pPr>
    </w:lvl>
    <w:lvl w:ilvl="5" w:tplc="434632BE">
      <w:start w:val="1"/>
      <w:numFmt w:val="lowerRoman"/>
      <w:lvlText w:val="%6."/>
      <w:lvlJc w:val="right"/>
      <w:pPr>
        <w:ind w:left="4320" w:hanging="180"/>
      </w:pPr>
    </w:lvl>
    <w:lvl w:ilvl="6" w:tplc="089CB372">
      <w:start w:val="1"/>
      <w:numFmt w:val="decimal"/>
      <w:lvlText w:val="%7."/>
      <w:lvlJc w:val="left"/>
      <w:pPr>
        <w:ind w:left="5040" w:hanging="360"/>
      </w:pPr>
    </w:lvl>
    <w:lvl w:ilvl="7" w:tplc="9210FDF8">
      <w:start w:val="1"/>
      <w:numFmt w:val="lowerLetter"/>
      <w:lvlText w:val="%8."/>
      <w:lvlJc w:val="left"/>
      <w:pPr>
        <w:ind w:left="5760" w:hanging="360"/>
      </w:pPr>
    </w:lvl>
    <w:lvl w:ilvl="8" w:tplc="A058EC6A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BA691A"/>
    <w:multiLevelType w:val="hybridMultilevel"/>
    <w:tmpl w:val="B980187A"/>
    <w:lvl w:ilvl="0" w:tplc="443ADF50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B2889C54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F1829A36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95961E5A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D026DE98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200E3806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995C0D4E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AE8CD13A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5C221F6A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4">
    <w:nsid w:val="4DB90417"/>
    <w:multiLevelType w:val="hybridMultilevel"/>
    <w:tmpl w:val="280828F4"/>
    <w:lvl w:ilvl="0" w:tplc="A22C12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3661D6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D9C810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0C24BA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00C2AB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5C08209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2E24B10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9EA419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AFA0241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>
    <w:nsid w:val="4E7B0BCD"/>
    <w:multiLevelType w:val="hybridMultilevel"/>
    <w:tmpl w:val="AD98507A"/>
    <w:lvl w:ilvl="0" w:tplc="D19E3542">
      <w:start w:val="1"/>
      <w:numFmt w:val="bullet"/>
      <w:lvlText w:val=""/>
      <w:lvlJc w:val="left"/>
      <w:pPr>
        <w:ind w:left="927" w:hanging="360"/>
      </w:pPr>
      <w:rPr>
        <w:rFonts w:ascii="Wingdings" w:hAnsi="Wingdings"/>
      </w:rPr>
    </w:lvl>
    <w:lvl w:ilvl="1" w:tplc="AC6E8DA8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 w:tplc="09508B94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 w:tplc="2742998A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 w:tplc="A740AF60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 w:tplc="8CD666E2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 w:tplc="6C38012E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 w:tplc="7D5255CA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 w:tplc="89783996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26">
    <w:nsid w:val="54935543"/>
    <w:multiLevelType w:val="hybridMultilevel"/>
    <w:tmpl w:val="5CC20EDA"/>
    <w:lvl w:ilvl="0" w:tplc="061CA210">
      <w:start w:val="1"/>
      <w:numFmt w:val="bullet"/>
      <w:lvlText w:val=""/>
      <w:lvlJc w:val="left"/>
      <w:pPr>
        <w:ind w:left="1353" w:hanging="360"/>
      </w:pPr>
      <w:rPr>
        <w:rFonts w:ascii="Symbol" w:hAnsi="Symbol"/>
      </w:rPr>
    </w:lvl>
    <w:lvl w:ilvl="1" w:tplc="D4B00994">
      <w:start w:val="1"/>
      <w:numFmt w:val="bullet"/>
      <w:lvlText w:val="o"/>
      <w:lvlJc w:val="left"/>
      <w:pPr>
        <w:ind w:left="2215" w:hanging="360"/>
      </w:pPr>
      <w:rPr>
        <w:rFonts w:ascii="Courier New" w:hAnsi="Courier New"/>
      </w:rPr>
    </w:lvl>
    <w:lvl w:ilvl="2" w:tplc="BD888C4A">
      <w:start w:val="1"/>
      <w:numFmt w:val="bullet"/>
      <w:lvlText w:val=""/>
      <w:lvlJc w:val="left"/>
      <w:pPr>
        <w:ind w:left="2935" w:hanging="360"/>
      </w:pPr>
      <w:rPr>
        <w:rFonts w:ascii="Wingdings" w:hAnsi="Wingdings"/>
      </w:rPr>
    </w:lvl>
    <w:lvl w:ilvl="3" w:tplc="5AE20FE8">
      <w:start w:val="1"/>
      <w:numFmt w:val="bullet"/>
      <w:lvlText w:val=""/>
      <w:lvlJc w:val="left"/>
      <w:pPr>
        <w:ind w:left="3655" w:hanging="360"/>
      </w:pPr>
      <w:rPr>
        <w:rFonts w:ascii="Symbol" w:hAnsi="Symbol"/>
      </w:rPr>
    </w:lvl>
    <w:lvl w:ilvl="4" w:tplc="A8A8E6FE">
      <w:start w:val="1"/>
      <w:numFmt w:val="bullet"/>
      <w:lvlText w:val="o"/>
      <w:lvlJc w:val="left"/>
      <w:pPr>
        <w:ind w:left="4375" w:hanging="360"/>
      </w:pPr>
      <w:rPr>
        <w:rFonts w:ascii="Courier New" w:hAnsi="Courier New"/>
      </w:rPr>
    </w:lvl>
    <w:lvl w:ilvl="5" w:tplc="3070A754">
      <w:start w:val="1"/>
      <w:numFmt w:val="bullet"/>
      <w:lvlText w:val=""/>
      <w:lvlJc w:val="left"/>
      <w:pPr>
        <w:ind w:left="5095" w:hanging="360"/>
      </w:pPr>
      <w:rPr>
        <w:rFonts w:ascii="Wingdings" w:hAnsi="Wingdings"/>
      </w:rPr>
    </w:lvl>
    <w:lvl w:ilvl="6" w:tplc="E7CC3E28">
      <w:start w:val="1"/>
      <w:numFmt w:val="bullet"/>
      <w:lvlText w:val=""/>
      <w:lvlJc w:val="left"/>
      <w:pPr>
        <w:ind w:left="5815" w:hanging="360"/>
      </w:pPr>
      <w:rPr>
        <w:rFonts w:ascii="Symbol" w:hAnsi="Symbol"/>
      </w:rPr>
    </w:lvl>
    <w:lvl w:ilvl="7" w:tplc="D14AC248">
      <w:start w:val="1"/>
      <w:numFmt w:val="bullet"/>
      <w:lvlText w:val="o"/>
      <w:lvlJc w:val="left"/>
      <w:pPr>
        <w:ind w:left="6535" w:hanging="360"/>
      </w:pPr>
      <w:rPr>
        <w:rFonts w:ascii="Courier New" w:hAnsi="Courier New"/>
      </w:rPr>
    </w:lvl>
    <w:lvl w:ilvl="8" w:tplc="D3448280">
      <w:start w:val="1"/>
      <w:numFmt w:val="bullet"/>
      <w:lvlText w:val=""/>
      <w:lvlJc w:val="left"/>
      <w:pPr>
        <w:ind w:left="7255" w:hanging="360"/>
      </w:pPr>
      <w:rPr>
        <w:rFonts w:ascii="Wingdings" w:hAnsi="Wingdings"/>
      </w:rPr>
    </w:lvl>
  </w:abstractNum>
  <w:abstractNum w:abstractNumId="27">
    <w:nsid w:val="587B1F1D"/>
    <w:multiLevelType w:val="hybridMultilevel"/>
    <w:tmpl w:val="9A9AA5EA"/>
    <w:lvl w:ilvl="0" w:tplc="93AA7DB6">
      <w:start w:val="1"/>
      <w:numFmt w:val="decimal"/>
      <w:lvlText w:val="%1."/>
      <w:lvlJc w:val="left"/>
      <w:pPr>
        <w:ind w:left="900" w:hanging="360"/>
      </w:pPr>
    </w:lvl>
    <w:lvl w:ilvl="1" w:tplc="1D9C28AC">
      <w:start w:val="1"/>
      <w:numFmt w:val="lowerLetter"/>
      <w:lvlText w:val="%2."/>
      <w:lvlJc w:val="left"/>
      <w:pPr>
        <w:ind w:left="1620" w:hanging="360"/>
      </w:pPr>
    </w:lvl>
    <w:lvl w:ilvl="2" w:tplc="9BDCEAC4">
      <w:start w:val="1"/>
      <w:numFmt w:val="lowerRoman"/>
      <w:lvlText w:val="%3."/>
      <w:lvlJc w:val="right"/>
      <w:pPr>
        <w:ind w:left="2340" w:hanging="180"/>
      </w:pPr>
    </w:lvl>
    <w:lvl w:ilvl="3" w:tplc="F96C41DA">
      <w:start w:val="1"/>
      <w:numFmt w:val="decimal"/>
      <w:lvlText w:val="%4."/>
      <w:lvlJc w:val="left"/>
      <w:pPr>
        <w:ind w:left="3060" w:hanging="360"/>
      </w:pPr>
    </w:lvl>
    <w:lvl w:ilvl="4" w:tplc="D554B15C">
      <w:start w:val="1"/>
      <w:numFmt w:val="lowerLetter"/>
      <w:lvlText w:val="%5."/>
      <w:lvlJc w:val="left"/>
      <w:pPr>
        <w:ind w:left="3780" w:hanging="360"/>
      </w:pPr>
    </w:lvl>
    <w:lvl w:ilvl="5" w:tplc="9DF2CBAC">
      <w:start w:val="1"/>
      <w:numFmt w:val="lowerRoman"/>
      <w:lvlText w:val="%6."/>
      <w:lvlJc w:val="right"/>
      <w:pPr>
        <w:ind w:left="4500" w:hanging="180"/>
      </w:pPr>
    </w:lvl>
    <w:lvl w:ilvl="6" w:tplc="27624E92">
      <w:start w:val="1"/>
      <w:numFmt w:val="decimal"/>
      <w:lvlText w:val="%7."/>
      <w:lvlJc w:val="left"/>
      <w:pPr>
        <w:ind w:left="5220" w:hanging="360"/>
      </w:pPr>
    </w:lvl>
    <w:lvl w:ilvl="7" w:tplc="8EB89E46">
      <w:start w:val="1"/>
      <w:numFmt w:val="lowerLetter"/>
      <w:lvlText w:val="%8."/>
      <w:lvlJc w:val="left"/>
      <w:pPr>
        <w:ind w:left="5940" w:hanging="360"/>
      </w:pPr>
    </w:lvl>
    <w:lvl w:ilvl="8" w:tplc="6EB6A45C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5AA07B76"/>
    <w:multiLevelType w:val="hybridMultilevel"/>
    <w:tmpl w:val="606ED938"/>
    <w:lvl w:ilvl="0" w:tplc="F1A85544">
      <w:start w:val="1"/>
      <w:numFmt w:val="bullet"/>
      <w:lvlText w:val=""/>
      <w:lvlJc w:val="left"/>
      <w:pPr>
        <w:ind w:left="1287" w:hanging="360"/>
      </w:pPr>
      <w:rPr>
        <w:rFonts w:ascii="Wingdings" w:hAnsi="Wingdings"/>
      </w:rPr>
    </w:lvl>
    <w:lvl w:ilvl="1" w:tplc="8522D70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B4D4B8B2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08D8BD52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96E67F32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06B80864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5F76879A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ABDA6840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C48E217C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29">
    <w:nsid w:val="5AE312C4"/>
    <w:multiLevelType w:val="hybridMultilevel"/>
    <w:tmpl w:val="5F4AED82"/>
    <w:lvl w:ilvl="0" w:tplc="149053F6">
      <w:start w:val="1"/>
      <w:numFmt w:val="decimal"/>
      <w:lvlText w:val="%1)"/>
      <w:lvlJc w:val="left"/>
      <w:pPr>
        <w:tabs>
          <w:tab w:val="num" w:pos="855"/>
        </w:tabs>
        <w:ind w:left="855" w:hanging="495"/>
      </w:pPr>
    </w:lvl>
    <w:lvl w:ilvl="1" w:tplc="75440C9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B26EC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3855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DA670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67814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75206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B7CA48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88B27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BAE7A3B"/>
    <w:multiLevelType w:val="hybridMultilevel"/>
    <w:tmpl w:val="16CAB026"/>
    <w:lvl w:ilvl="0" w:tplc="2F649A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67683F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6BB0CA0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F266E1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852EFB0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EF682D3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506A91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9148E5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EC6764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>
    <w:nsid w:val="5C254A3A"/>
    <w:multiLevelType w:val="hybridMultilevel"/>
    <w:tmpl w:val="8C7E429A"/>
    <w:lvl w:ilvl="0" w:tplc="7B422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51E090D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2" w:tplc="AF02584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526246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0E8A6EE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96F99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238E4D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BA842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BBC28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13277CD"/>
    <w:multiLevelType w:val="hybridMultilevel"/>
    <w:tmpl w:val="6C1CDC02"/>
    <w:lvl w:ilvl="0" w:tplc="B4CA4252">
      <w:start w:val="1"/>
      <w:numFmt w:val="decimal"/>
      <w:lvlText w:val="%1)"/>
      <w:lvlJc w:val="left"/>
      <w:pPr>
        <w:tabs>
          <w:tab w:val="num" w:pos="390"/>
        </w:tabs>
        <w:ind w:left="390" w:hanging="390"/>
      </w:pPr>
    </w:lvl>
    <w:lvl w:ilvl="1" w:tplc="D8048E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EC713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E222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3E11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D4955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0D26B2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01E03F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DD02F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2035489"/>
    <w:multiLevelType w:val="hybridMultilevel"/>
    <w:tmpl w:val="9686051E"/>
    <w:lvl w:ilvl="0" w:tplc="C4EC07F0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C23AA918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82BE5854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DFF8B424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52363146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B324E4D0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9E78ED50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BC28ECDC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4316F77C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34">
    <w:nsid w:val="670D35AF"/>
    <w:multiLevelType w:val="hybridMultilevel"/>
    <w:tmpl w:val="4EB04B9A"/>
    <w:lvl w:ilvl="0" w:tplc="A3C42D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 w:tplc="704476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6412A6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 w:tplc="010EC9D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 w:tplc="76DC638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F7DC52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 w:tplc="EA72DEE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 w:tplc="0296A49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EE26CF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35">
    <w:nsid w:val="6E044DE4"/>
    <w:multiLevelType w:val="hybridMultilevel"/>
    <w:tmpl w:val="B658D482"/>
    <w:lvl w:ilvl="0" w:tplc="2234A3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19AC627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FC3C1A0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24E3B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BC08B8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E7B495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522001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E094412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FF10B0A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6">
    <w:nsid w:val="6E8111E7"/>
    <w:multiLevelType w:val="hybridMultilevel"/>
    <w:tmpl w:val="FF783FBC"/>
    <w:lvl w:ilvl="0" w:tplc="952AF56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040F4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F98643D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7EAD296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C723A7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29C4C49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73144B3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3D400B3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D86C7D0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7">
    <w:nsid w:val="709731D9"/>
    <w:multiLevelType w:val="hybridMultilevel"/>
    <w:tmpl w:val="04F0A6B2"/>
    <w:lvl w:ilvl="0" w:tplc="884C6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ABAF7D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797AB9D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324CF2E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874DB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45A698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23109AB4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664CD9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D972774C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>
    <w:nsid w:val="716A2D51"/>
    <w:multiLevelType w:val="hybridMultilevel"/>
    <w:tmpl w:val="640ECA7A"/>
    <w:lvl w:ilvl="0" w:tplc="5E2404A2">
      <w:start w:val="1"/>
      <w:numFmt w:val="bullet"/>
      <w:lvlText w:val=""/>
      <w:lvlJc w:val="left"/>
      <w:pPr>
        <w:ind w:left="1039" w:hanging="360"/>
      </w:pPr>
      <w:rPr>
        <w:rFonts w:ascii="Symbol" w:hAnsi="Symbol"/>
      </w:rPr>
    </w:lvl>
    <w:lvl w:ilvl="1" w:tplc="2132BD76">
      <w:start w:val="1"/>
      <w:numFmt w:val="bullet"/>
      <w:lvlText w:val="o"/>
      <w:lvlJc w:val="left"/>
      <w:pPr>
        <w:ind w:left="1759" w:hanging="360"/>
      </w:pPr>
      <w:rPr>
        <w:rFonts w:ascii="Courier New" w:hAnsi="Courier New" w:cs="Courier New"/>
      </w:rPr>
    </w:lvl>
    <w:lvl w:ilvl="2" w:tplc="F306EB80">
      <w:start w:val="1"/>
      <w:numFmt w:val="bullet"/>
      <w:lvlText w:val=""/>
      <w:lvlJc w:val="left"/>
      <w:pPr>
        <w:ind w:left="2479" w:hanging="360"/>
      </w:pPr>
      <w:rPr>
        <w:rFonts w:ascii="Wingdings" w:hAnsi="Wingdings"/>
      </w:rPr>
    </w:lvl>
    <w:lvl w:ilvl="3" w:tplc="1DACB61C">
      <w:start w:val="1"/>
      <w:numFmt w:val="bullet"/>
      <w:lvlText w:val=""/>
      <w:lvlJc w:val="left"/>
      <w:pPr>
        <w:ind w:left="3199" w:hanging="360"/>
      </w:pPr>
      <w:rPr>
        <w:rFonts w:ascii="Symbol" w:hAnsi="Symbol"/>
      </w:rPr>
    </w:lvl>
    <w:lvl w:ilvl="4" w:tplc="FAFE7E6C">
      <w:start w:val="1"/>
      <w:numFmt w:val="bullet"/>
      <w:lvlText w:val="o"/>
      <w:lvlJc w:val="left"/>
      <w:pPr>
        <w:ind w:left="3919" w:hanging="360"/>
      </w:pPr>
      <w:rPr>
        <w:rFonts w:ascii="Courier New" w:hAnsi="Courier New" w:cs="Courier New"/>
      </w:rPr>
    </w:lvl>
    <w:lvl w:ilvl="5" w:tplc="7D966B10">
      <w:start w:val="1"/>
      <w:numFmt w:val="bullet"/>
      <w:lvlText w:val=""/>
      <w:lvlJc w:val="left"/>
      <w:pPr>
        <w:ind w:left="4639" w:hanging="360"/>
      </w:pPr>
      <w:rPr>
        <w:rFonts w:ascii="Wingdings" w:hAnsi="Wingdings"/>
      </w:rPr>
    </w:lvl>
    <w:lvl w:ilvl="6" w:tplc="DAEAD142">
      <w:start w:val="1"/>
      <w:numFmt w:val="bullet"/>
      <w:lvlText w:val=""/>
      <w:lvlJc w:val="left"/>
      <w:pPr>
        <w:ind w:left="5359" w:hanging="360"/>
      </w:pPr>
      <w:rPr>
        <w:rFonts w:ascii="Symbol" w:hAnsi="Symbol"/>
      </w:rPr>
    </w:lvl>
    <w:lvl w:ilvl="7" w:tplc="5B6C95C6">
      <w:start w:val="1"/>
      <w:numFmt w:val="bullet"/>
      <w:lvlText w:val="o"/>
      <w:lvlJc w:val="left"/>
      <w:pPr>
        <w:ind w:left="6079" w:hanging="360"/>
      </w:pPr>
      <w:rPr>
        <w:rFonts w:ascii="Courier New" w:hAnsi="Courier New" w:cs="Courier New"/>
      </w:rPr>
    </w:lvl>
    <w:lvl w:ilvl="8" w:tplc="50E86870">
      <w:start w:val="1"/>
      <w:numFmt w:val="bullet"/>
      <w:lvlText w:val=""/>
      <w:lvlJc w:val="left"/>
      <w:pPr>
        <w:ind w:left="6799" w:hanging="360"/>
      </w:pPr>
      <w:rPr>
        <w:rFonts w:ascii="Wingdings" w:hAnsi="Wingdings"/>
      </w:rPr>
    </w:lvl>
  </w:abstractNum>
  <w:abstractNum w:abstractNumId="39">
    <w:nsid w:val="73542329"/>
    <w:multiLevelType w:val="hybridMultilevel"/>
    <w:tmpl w:val="1A4C1DD0"/>
    <w:lvl w:ilvl="0" w:tplc="1C64AA3A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cs="Symbol"/>
        <w:color w:val="000000"/>
      </w:rPr>
    </w:lvl>
    <w:lvl w:ilvl="1" w:tplc="DEAE49A6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/>
      </w:rPr>
    </w:lvl>
    <w:lvl w:ilvl="2" w:tplc="D412752E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/>
      </w:rPr>
    </w:lvl>
    <w:lvl w:ilvl="3" w:tplc="E0A49A66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/>
      </w:rPr>
    </w:lvl>
    <w:lvl w:ilvl="4" w:tplc="AF2CA89A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/>
      </w:rPr>
    </w:lvl>
    <w:lvl w:ilvl="5" w:tplc="C9321CB8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/>
      </w:rPr>
    </w:lvl>
    <w:lvl w:ilvl="6" w:tplc="19148442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/>
      </w:rPr>
    </w:lvl>
    <w:lvl w:ilvl="7" w:tplc="3ABEEFBE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/>
      </w:rPr>
    </w:lvl>
    <w:lvl w:ilvl="8" w:tplc="0C20A06C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/>
      </w:rPr>
    </w:lvl>
  </w:abstractNum>
  <w:abstractNum w:abstractNumId="40">
    <w:nsid w:val="778E6391"/>
    <w:multiLevelType w:val="hybridMultilevel"/>
    <w:tmpl w:val="EE34C898"/>
    <w:lvl w:ilvl="0" w:tplc="FFD64574">
      <w:start w:val="1"/>
      <w:numFmt w:val="decimal"/>
      <w:lvlText w:val="%1."/>
      <w:lvlJc w:val="left"/>
      <w:pPr>
        <w:tabs>
          <w:tab w:val="num" w:pos="792"/>
        </w:tabs>
        <w:ind w:left="792" w:hanging="360"/>
      </w:pPr>
    </w:lvl>
    <w:lvl w:ilvl="1" w:tplc="DE62FAE0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2A9ADD64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D70A42F2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A5BC86BA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21922DF0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D670058A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DAD833D0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F912C676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41">
    <w:nsid w:val="7AB24A5C"/>
    <w:multiLevelType w:val="hybridMultilevel"/>
    <w:tmpl w:val="C6762944"/>
    <w:lvl w:ilvl="0" w:tplc="6A0821C0">
      <w:start w:val="1"/>
      <w:numFmt w:val="bullet"/>
      <w:lvlText w:val=""/>
      <w:lvlJc w:val="left"/>
      <w:pPr>
        <w:ind w:left="927" w:hanging="360"/>
      </w:pPr>
      <w:rPr>
        <w:rFonts w:ascii="Symbol" w:hAnsi="Symbol"/>
      </w:rPr>
    </w:lvl>
    <w:lvl w:ilvl="1" w:tplc="32CE9600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/>
      </w:rPr>
    </w:lvl>
    <w:lvl w:ilvl="2" w:tplc="11C6400A">
      <w:start w:val="1"/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 w:tplc="21F64FB4">
      <w:start w:val="1"/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 w:tplc="223A9566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/>
      </w:rPr>
    </w:lvl>
    <w:lvl w:ilvl="5" w:tplc="03C275F4">
      <w:start w:val="1"/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 w:tplc="B2C4B87C">
      <w:start w:val="1"/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 w:tplc="082CD6D4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/>
      </w:rPr>
    </w:lvl>
    <w:lvl w:ilvl="8" w:tplc="38243514">
      <w:start w:val="1"/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num w:numId="1">
    <w:abstractNumId w:val="29"/>
  </w:num>
  <w:num w:numId="2">
    <w:abstractNumId w:val="16"/>
  </w:num>
  <w:num w:numId="3">
    <w:abstractNumId w:val="21"/>
  </w:num>
  <w:num w:numId="4">
    <w:abstractNumId w:val="7"/>
  </w:num>
  <w:num w:numId="5">
    <w:abstractNumId w:val="40"/>
  </w:num>
  <w:num w:numId="6">
    <w:abstractNumId w:val="34"/>
  </w:num>
  <w:num w:numId="7">
    <w:abstractNumId w:val="17"/>
  </w:num>
  <w:num w:numId="8">
    <w:abstractNumId w:val="10"/>
  </w:num>
  <w:num w:numId="9">
    <w:abstractNumId w:val="31"/>
  </w:num>
  <w:num w:numId="10">
    <w:abstractNumId w:val="35"/>
  </w:num>
  <w:num w:numId="11">
    <w:abstractNumId w:val="32"/>
  </w:num>
  <w:num w:numId="12">
    <w:abstractNumId w:val="39"/>
  </w:num>
  <w:num w:numId="13">
    <w:abstractNumId w:val="5"/>
  </w:num>
  <w:num w:numId="14">
    <w:abstractNumId w:val="27"/>
  </w:num>
  <w:num w:numId="15">
    <w:abstractNumId w:val="22"/>
  </w:num>
  <w:num w:numId="16">
    <w:abstractNumId w:val="30"/>
  </w:num>
  <w:num w:numId="17">
    <w:abstractNumId w:val="14"/>
  </w:num>
  <w:num w:numId="18">
    <w:abstractNumId w:val="24"/>
  </w:num>
  <w:num w:numId="19">
    <w:abstractNumId w:val="1"/>
  </w:num>
  <w:num w:numId="20">
    <w:abstractNumId w:val="37"/>
  </w:num>
  <w:num w:numId="21">
    <w:abstractNumId w:val="33"/>
  </w:num>
  <w:num w:numId="22">
    <w:abstractNumId w:val="41"/>
  </w:num>
  <w:num w:numId="23">
    <w:abstractNumId w:val="25"/>
  </w:num>
  <w:num w:numId="24">
    <w:abstractNumId w:val="3"/>
  </w:num>
  <w:num w:numId="25">
    <w:abstractNumId w:val="11"/>
  </w:num>
  <w:num w:numId="26">
    <w:abstractNumId w:val="0"/>
  </w:num>
  <w:num w:numId="27">
    <w:abstractNumId w:val="36"/>
  </w:num>
  <w:num w:numId="28">
    <w:abstractNumId w:val="9"/>
  </w:num>
  <w:num w:numId="29">
    <w:abstractNumId w:val="12"/>
  </w:num>
  <w:num w:numId="30">
    <w:abstractNumId w:val="28"/>
  </w:num>
  <w:num w:numId="31">
    <w:abstractNumId w:val="26"/>
  </w:num>
  <w:num w:numId="32">
    <w:abstractNumId w:val="8"/>
  </w:num>
  <w:num w:numId="33">
    <w:abstractNumId w:val="18"/>
  </w:num>
  <w:num w:numId="34">
    <w:abstractNumId w:val="19"/>
  </w:num>
  <w:num w:numId="35">
    <w:abstractNumId w:val="13"/>
  </w:num>
  <w:num w:numId="36">
    <w:abstractNumId w:val="2"/>
  </w:num>
  <w:num w:numId="37">
    <w:abstractNumId w:val="23"/>
  </w:num>
  <w:num w:numId="38">
    <w:abstractNumId w:val="38"/>
  </w:num>
  <w:num w:numId="39">
    <w:abstractNumId w:val="20"/>
  </w:num>
  <w:num w:numId="40">
    <w:abstractNumId w:val="6"/>
  </w:num>
  <w:num w:numId="41">
    <w:abstractNumId w:val="15"/>
  </w:num>
  <w:num w:numId="4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F6BBA"/>
    <w:rsid w:val="002F6BBA"/>
    <w:rsid w:val="004012F3"/>
    <w:rsid w:val="005F43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BB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2F6BBA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2F6BBA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2F6BBA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2F6BBA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2F6BBA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2F6BBA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2F6BBA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2F6BBA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2F6BBA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2F6BBA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2F6BBA"/>
    <w:rPr>
      <w:sz w:val="24"/>
      <w:szCs w:val="24"/>
    </w:rPr>
  </w:style>
  <w:style w:type="character" w:customStyle="1" w:styleId="QuoteChar">
    <w:name w:val="Quote Char"/>
    <w:link w:val="2"/>
    <w:uiPriority w:val="29"/>
    <w:rsid w:val="002F6BBA"/>
    <w:rPr>
      <w:i/>
    </w:rPr>
  </w:style>
  <w:style w:type="character" w:customStyle="1" w:styleId="IntenseQuoteChar">
    <w:name w:val="Intense Quote Char"/>
    <w:link w:val="a5"/>
    <w:uiPriority w:val="30"/>
    <w:rsid w:val="002F6BBA"/>
    <w:rPr>
      <w:i/>
    </w:rPr>
  </w:style>
  <w:style w:type="character" w:customStyle="1" w:styleId="HeaderChar">
    <w:name w:val="Header Char"/>
    <w:basedOn w:val="a0"/>
    <w:link w:val="Header"/>
    <w:uiPriority w:val="99"/>
    <w:rsid w:val="002F6BBA"/>
  </w:style>
  <w:style w:type="character" w:customStyle="1" w:styleId="CaptionChar">
    <w:name w:val="Caption Char"/>
    <w:basedOn w:val="a0"/>
    <w:link w:val="Caption"/>
    <w:uiPriority w:val="35"/>
    <w:rsid w:val="002F6BBA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link w:val="a6"/>
    <w:uiPriority w:val="99"/>
    <w:rsid w:val="002F6BBA"/>
    <w:rPr>
      <w:sz w:val="18"/>
    </w:rPr>
  </w:style>
  <w:style w:type="character" w:customStyle="1" w:styleId="EndnoteTextChar">
    <w:name w:val="Endnote Text Char"/>
    <w:link w:val="a7"/>
    <w:uiPriority w:val="99"/>
    <w:rsid w:val="002F6BBA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2F6BB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2F6BB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2F6BB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2F6BB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2F6BB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2F6BB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2F6BB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2F6BB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2F6BB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link w:val="Heading1"/>
    <w:uiPriority w:val="9"/>
    <w:rsid w:val="002F6BB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Heading2"/>
    <w:uiPriority w:val="9"/>
    <w:rsid w:val="002F6BBA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2F6BB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2F6BB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2F6BB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2F6BB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2F6BB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2F6BB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2F6BBA"/>
    <w:rPr>
      <w:rFonts w:ascii="Arial" w:eastAsia="Arial" w:hAnsi="Arial" w:cs="Arial"/>
      <w:i/>
      <w:iCs/>
      <w:sz w:val="21"/>
      <w:szCs w:val="21"/>
    </w:rPr>
  </w:style>
  <w:style w:type="paragraph" w:styleId="a8">
    <w:name w:val="List Paragraph"/>
    <w:basedOn w:val="a"/>
    <w:uiPriority w:val="34"/>
    <w:qFormat/>
    <w:rsid w:val="002F6BBA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9">
    <w:name w:val="No Spacing"/>
    <w:uiPriority w:val="1"/>
    <w:qFormat/>
    <w:rsid w:val="002F6BBA"/>
    <w:rPr>
      <w:lang w:eastAsia="zh-CN"/>
    </w:rPr>
  </w:style>
  <w:style w:type="paragraph" w:styleId="a3">
    <w:name w:val="Title"/>
    <w:basedOn w:val="a"/>
    <w:next w:val="a"/>
    <w:link w:val="aa"/>
    <w:uiPriority w:val="10"/>
    <w:qFormat/>
    <w:rsid w:val="002F6BBA"/>
    <w:pPr>
      <w:spacing w:before="300" w:after="200"/>
      <w:contextualSpacing/>
    </w:pPr>
    <w:rPr>
      <w:sz w:val="48"/>
      <w:szCs w:val="48"/>
    </w:rPr>
  </w:style>
  <w:style w:type="character" w:customStyle="1" w:styleId="aa">
    <w:name w:val="Название Знак"/>
    <w:link w:val="a3"/>
    <w:uiPriority w:val="10"/>
    <w:rsid w:val="002F6BBA"/>
    <w:rPr>
      <w:sz w:val="48"/>
      <w:szCs w:val="48"/>
    </w:rPr>
  </w:style>
  <w:style w:type="paragraph" w:styleId="a4">
    <w:name w:val="Subtitle"/>
    <w:basedOn w:val="a"/>
    <w:next w:val="a"/>
    <w:link w:val="ab"/>
    <w:uiPriority w:val="11"/>
    <w:qFormat/>
    <w:rsid w:val="002F6BBA"/>
    <w:pPr>
      <w:spacing w:before="200" w:after="200"/>
    </w:pPr>
  </w:style>
  <w:style w:type="character" w:customStyle="1" w:styleId="ab">
    <w:name w:val="Подзаголовок Знак"/>
    <w:link w:val="a4"/>
    <w:uiPriority w:val="11"/>
    <w:rsid w:val="002F6BBA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2F6BBA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2F6BBA"/>
    <w:rPr>
      <w:i/>
    </w:rPr>
  </w:style>
  <w:style w:type="paragraph" w:styleId="a5">
    <w:name w:val="Intense Quote"/>
    <w:basedOn w:val="a"/>
    <w:next w:val="a"/>
    <w:link w:val="ac"/>
    <w:uiPriority w:val="30"/>
    <w:qFormat/>
    <w:rsid w:val="002F6BB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5"/>
    <w:uiPriority w:val="30"/>
    <w:rsid w:val="002F6BBA"/>
    <w:rPr>
      <w:i/>
    </w:rPr>
  </w:style>
  <w:style w:type="paragraph" w:customStyle="1" w:styleId="Header">
    <w:name w:val="Header"/>
    <w:basedOn w:val="a"/>
    <w:link w:val="ad"/>
    <w:rsid w:val="002F6BB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Header"/>
    <w:uiPriority w:val="99"/>
    <w:rsid w:val="002F6BBA"/>
  </w:style>
  <w:style w:type="paragraph" w:customStyle="1" w:styleId="Footer">
    <w:name w:val="Footer"/>
    <w:basedOn w:val="a"/>
    <w:link w:val="ae"/>
    <w:uiPriority w:val="99"/>
    <w:rsid w:val="002F6BBA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  <w:rsid w:val="002F6BBA"/>
  </w:style>
  <w:style w:type="paragraph" w:customStyle="1" w:styleId="Caption">
    <w:name w:val="Caption"/>
    <w:basedOn w:val="a"/>
    <w:next w:val="a"/>
    <w:link w:val="af"/>
    <w:uiPriority w:val="35"/>
    <w:semiHidden/>
    <w:unhideWhenUsed/>
    <w:qFormat/>
    <w:rsid w:val="002F6BBA"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f">
    <w:name w:val="Название объекта Знак"/>
    <w:link w:val="Caption"/>
    <w:uiPriority w:val="35"/>
    <w:rsid w:val="002F6BBA"/>
    <w:rPr>
      <w:b/>
      <w:bCs/>
      <w:color w:val="4F81BD"/>
      <w:sz w:val="18"/>
      <w:szCs w:val="18"/>
    </w:rPr>
  </w:style>
  <w:style w:type="table" w:styleId="af0">
    <w:name w:val="Table Grid"/>
    <w:basedOn w:val="a1"/>
    <w:rsid w:val="002F6BBA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2F6BBA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2F6BBA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sid w:val="002F6BBA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sid w:val="002F6BB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sid w:val="002F6BB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sid w:val="002F6BB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sid w:val="002F6BB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sid w:val="002F6BB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sid w:val="002F6BB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sid w:val="002F6BB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sid w:val="002F6BB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sid w:val="002F6BB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sid w:val="002F6BB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sid w:val="002F6BBA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sid w:val="002F6BBA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sid w:val="002F6BBA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sid w:val="002F6BBA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sid w:val="002F6BBA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sid w:val="002F6BBA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sid w:val="002F6BBA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sid w:val="002F6BBA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sid w:val="002F6BBA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sid w:val="002F6BBA"/>
    <w:rPr>
      <w:color w:val="0000FF"/>
      <w:u w:val="single"/>
    </w:rPr>
  </w:style>
  <w:style w:type="paragraph" w:styleId="a6">
    <w:name w:val="footnote text"/>
    <w:basedOn w:val="a"/>
    <w:link w:val="af2"/>
    <w:uiPriority w:val="99"/>
    <w:semiHidden/>
    <w:unhideWhenUsed/>
    <w:rsid w:val="002F6BBA"/>
    <w:pPr>
      <w:spacing w:after="40"/>
    </w:pPr>
    <w:rPr>
      <w:sz w:val="18"/>
    </w:rPr>
  </w:style>
  <w:style w:type="character" w:customStyle="1" w:styleId="af2">
    <w:name w:val="Текст сноски Знак"/>
    <w:link w:val="a6"/>
    <w:uiPriority w:val="99"/>
    <w:rsid w:val="002F6BBA"/>
    <w:rPr>
      <w:sz w:val="18"/>
    </w:rPr>
  </w:style>
  <w:style w:type="character" w:styleId="af3">
    <w:name w:val="footnote reference"/>
    <w:uiPriority w:val="99"/>
    <w:unhideWhenUsed/>
    <w:rsid w:val="002F6BBA"/>
    <w:rPr>
      <w:vertAlign w:val="superscript"/>
    </w:rPr>
  </w:style>
  <w:style w:type="paragraph" w:styleId="a7">
    <w:name w:val="endnote text"/>
    <w:basedOn w:val="a"/>
    <w:link w:val="af4"/>
    <w:uiPriority w:val="99"/>
    <w:semiHidden/>
    <w:unhideWhenUsed/>
    <w:rsid w:val="002F6BBA"/>
    <w:rPr>
      <w:sz w:val="20"/>
    </w:rPr>
  </w:style>
  <w:style w:type="character" w:customStyle="1" w:styleId="af4">
    <w:name w:val="Текст концевой сноски Знак"/>
    <w:link w:val="a7"/>
    <w:uiPriority w:val="99"/>
    <w:rsid w:val="002F6BBA"/>
    <w:rPr>
      <w:sz w:val="20"/>
    </w:rPr>
  </w:style>
  <w:style w:type="character" w:styleId="af5">
    <w:name w:val="endnote reference"/>
    <w:uiPriority w:val="99"/>
    <w:semiHidden/>
    <w:unhideWhenUsed/>
    <w:rsid w:val="002F6BBA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2F6BBA"/>
    <w:pPr>
      <w:spacing w:after="57"/>
    </w:pPr>
  </w:style>
  <w:style w:type="paragraph" w:styleId="22">
    <w:name w:val="toc 2"/>
    <w:basedOn w:val="a"/>
    <w:next w:val="a"/>
    <w:uiPriority w:val="39"/>
    <w:unhideWhenUsed/>
    <w:rsid w:val="002F6BB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2F6BB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2F6BB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2F6BB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2F6BB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2F6BB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2F6BB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2F6BBA"/>
    <w:pPr>
      <w:spacing w:after="57"/>
      <w:ind w:left="2268"/>
    </w:pPr>
  </w:style>
  <w:style w:type="paragraph" w:styleId="af6">
    <w:name w:val="TOC Heading"/>
    <w:uiPriority w:val="39"/>
    <w:unhideWhenUsed/>
    <w:rsid w:val="002F6BBA"/>
    <w:rPr>
      <w:lang w:eastAsia="zh-CN"/>
    </w:rPr>
  </w:style>
  <w:style w:type="paragraph" w:styleId="af7">
    <w:name w:val="table of figures"/>
    <w:basedOn w:val="a"/>
    <w:next w:val="a"/>
    <w:uiPriority w:val="99"/>
    <w:unhideWhenUsed/>
    <w:rsid w:val="002F6BBA"/>
  </w:style>
  <w:style w:type="character" w:customStyle="1" w:styleId="af8">
    <w:name w:val="Основной шрифт абзаца;Знак Знак Знак Знак Знак Знак"/>
    <w:link w:val="af9"/>
    <w:semiHidden/>
    <w:rsid w:val="002F6BBA"/>
  </w:style>
  <w:style w:type="paragraph" w:styleId="afa">
    <w:name w:val="Body Text Indent"/>
    <w:basedOn w:val="a"/>
    <w:rsid w:val="002F6BBA"/>
    <w:pPr>
      <w:ind w:left="460" w:hanging="460"/>
      <w:jc w:val="both"/>
    </w:pPr>
  </w:style>
  <w:style w:type="character" w:styleId="afb">
    <w:name w:val="page number"/>
    <w:basedOn w:val="af8"/>
    <w:rsid w:val="002F6BBA"/>
  </w:style>
  <w:style w:type="paragraph" w:customStyle="1" w:styleId="ConsPlusCell">
    <w:name w:val="ConsPlusCell"/>
    <w:rsid w:val="002F6BBA"/>
    <w:rPr>
      <w:rFonts w:ascii="Arial" w:hAnsi="Arial" w:cs="Arial"/>
    </w:rPr>
  </w:style>
  <w:style w:type="paragraph" w:customStyle="1" w:styleId="11">
    <w:name w:val="Обычный (веб)1"/>
    <w:basedOn w:val="a"/>
    <w:rsid w:val="002F6BBA"/>
    <w:pPr>
      <w:spacing w:before="100" w:beforeAutospacing="1" w:after="100" w:afterAutospacing="1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ConsNormal">
    <w:name w:val="ConsNormal"/>
    <w:rsid w:val="002F6BBA"/>
    <w:pPr>
      <w:widowControl w:val="0"/>
      <w:ind w:firstLine="720"/>
    </w:pPr>
    <w:rPr>
      <w:rFonts w:ascii="Arial" w:hAnsi="Arial" w:cs="Arial"/>
    </w:rPr>
  </w:style>
  <w:style w:type="paragraph" w:styleId="afc">
    <w:name w:val="Balloon Text"/>
    <w:basedOn w:val="a"/>
    <w:semiHidden/>
    <w:rsid w:val="002F6BBA"/>
    <w:rPr>
      <w:rFonts w:ascii="Tahoma" w:hAnsi="Tahoma" w:cs="Tahoma"/>
      <w:sz w:val="16"/>
      <w:szCs w:val="16"/>
    </w:rPr>
  </w:style>
  <w:style w:type="paragraph" w:customStyle="1" w:styleId="afd">
    <w:name w:val="Знак Знак Знак Знак"/>
    <w:basedOn w:val="a"/>
    <w:rsid w:val="002F6B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Нижний колонтитул Знак"/>
    <w:link w:val="Footer"/>
    <w:uiPriority w:val="99"/>
    <w:rsid w:val="002F6BBA"/>
    <w:rPr>
      <w:sz w:val="24"/>
      <w:szCs w:val="24"/>
    </w:rPr>
  </w:style>
  <w:style w:type="paragraph" w:customStyle="1" w:styleId="ConsPlusNormal">
    <w:name w:val="ConsPlusNormal"/>
    <w:rsid w:val="002F6BBA"/>
    <w:pPr>
      <w:widowControl w:val="0"/>
    </w:pPr>
    <w:rPr>
      <w:rFonts w:ascii="Calibri" w:hAnsi="Calibri" w:cs="Calibri"/>
      <w:sz w:val="22"/>
    </w:rPr>
  </w:style>
  <w:style w:type="paragraph" w:styleId="afe">
    <w:name w:val="Normal (Web)"/>
    <w:basedOn w:val="a"/>
    <w:uiPriority w:val="99"/>
    <w:unhideWhenUsed/>
    <w:rsid w:val="002F6BBA"/>
    <w:pPr>
      <w:spacing w:before="100" w:beforeAutospacing="1" w:after="100" w:afterAutospacing="1"/>
    </w:pPr>
  </w:style>
  <w:style w:type="paragraph" w:styleId="23">
    <w:name w:val="Body Text 2"/>
    <w:basedOn w:val="a"/>
    <w:link w:val="24"/>
    <w:uiPriority w:val="99"/>
    <w:rsid w:val="002F6BBA"/>
    <w:pPr>
      <w:spacing w:after="120" w:line="480" w:lineRule="auto"/>
    </w:pPr>
  </w:style>
  <w:style w:type="character" w:customStyle="1" w:styleId="24">
    <w:name w:val="Основной текст 2 Знак"/>
    <w:link w:val="23"/>
    <w:uiPriority w:val="99"/>
    <w:rsid w:val="002F6BBA"/>
    <w:rPr>
      <w:sz w:val="24"/>
      <w:szCs w:val="24"/>
    </w:rPr>
  </w:style>
  <w:style w:type="paragraph" w:customStyle="1" w:styleId="ConsPlusTitle">
    <w:name w:val="ConsPlusTitle"/>
    <w:rsid w:val="002F6BBA"/>
    <w:pPr>
      <w:widowControl w:val="0"/>
    </w:pPr>
    <w:rPr>
      <w:rFonts w:ascii="Calibri" w:hAnsi="Calibri" w:cs="Calibri"/>
      <w:b/>
      <w:sz w:val="22"/>
    </w:rPr>
  </w:style>
  <w:style w:type="paragraph" w:customStyle="1" w:styleId="contents">
    <w:name w:val="contents"/>
    <w:basedOn w:val="a"/>
    <w:rsid w:val="002F6BBA"/>
    <w:pPr>
      <w:spacing w:before="100" w:beforeAutospacing="1" w:after="100" w:afterAutospacing="1"/>
    </w:pPr>
    <w:rPr>
      <w:rFonts w:ascii="Verdana" w:hAnsi="Verdana"/>
      <w:color w:val="333333"/>
      <w:sz w:val="21"/>
      <w:szCs w:val="21"/>
    </w:rPr>
  </w:style>
  <w:style w:type="paragraph" w:customStyle="1" w:styleId="af9">
    <w:name w:val="Знак Знак Знак"/>
    <w:basedOn w:val="a"/>
    <w:link w:val="af8"/>
    <w:uiPriority w:val="99"/>
    <w:rsid w:val="002F6BBA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f">
    <w:name w:val="Strong"/>
    <w:uiPriority w:val="22"/>
    <w:qFormat/>
    <w:rsid w:val="002F6BBA"/>
    <w:rPr>
      <w:rFonts w:cs="Times New Roman"/>
      <w:b/>
    </w:rPr>
  </w:style>
  <w:style w:type="character" w:styleId="aff0">
    <w:name w:val="FollowedHyperlink"/>
    <w:rsid w:val="002F6BBA"/>
    <w:rPr>
      <w:color w:val="954F72"/>
      <w:u w:val="single"/>
    </w:rPr>
  </w:style>
  <w:style w:type="table" w:customStyle="1" w:styleId="12">
    <w:name w:val="Сетка таблицы1"/>
    <w:basedOn w:val="a1"/>
    <w:next w:val="af0"/>
    <w:uiPriority w:val="39"/>
    <w:rsid w:val="002F6BBA"/>
    <w:rPr>
      <w:rFonts w:ascii="Calibri" w:eastAsia="Calibri" w:hAnsi="Calibri"/>
      <w:sz w:val="22"/>
      <w:szCs w:val="22"/>
      <w:lang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annotation reference"/>
    <w:uiPriority w:val="99"/>
    <w:unhideWhenUsed/>
    <w:rsid w:val="002F6BBA"/>
    <w:rPr>
      <w:sz w:val="16"/>
      <w:szCs w:val="16"/>
    </w:rPr>
  </w:style>
  <w:style w:type="paragraph" w:styleId="aff2">
    <w:name w:val="annotation text"/>
    <w:basedOn w:val="a"/>
    <w:link w:val="aff3"/>
    <w:uiPriority w:val="99"/>
    <w:unhideWhenUsed/>
    <w:rsid w:val="002F6BBA"/>
    <w:pPr>
      <w:widowControl w:val="0"/>
    </w:pPr>
    <w:rPr>
      <w:rFonts w:ascii="Arial Unicode MS" w:eastAsia="Arial Unicode MS" w:hAnsi="Arial Unicode MS" w:cs="Arial Unicode MS"/>
      <w:color w:val="000000"/>
      <w:sz w:val="20"/>
      <w:szCs w:val="20"/>
      <w:lang w:bidi="ru-RU"/>
    </w:rPr>
  </w:style>
  <w:style w:type="character" w:customStyle="1" w:styleId="aff3">
    <w:name w:val="Текст примечания Знак"/>
    <w:link w:val="aff2"/>
    <w:uiPriority w:val="99"/>
    <w:rsid w:val="002F6BBA"/>
    <w:rPr>
      <w:rFonts w:ascii="Arial Unicode MS" w:eastAsia="Arial Unicode MS" w:hAnsi="Arial Unicode MS" w:cs="Arial Unicode MS"/>
      <w:color w:val="000000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nar2@educenter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educente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minar6@educenter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1616</Words>
  <Characters>9217</Characters>
  <Application>Microsoft Office Word</Application>
  <DocSecurity>0</DocSecurity>
  <Lines>76</Lines>
  <Paragraphs>21</Paragraphs>
  <ScaleCrop>false</ScaleCrop>
  <Company/>
  <LinksUpToDate>false</LinksUpToDate>
  <CharactersWithSpaces>10812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OlgaD</dc:creator>
  <cp:lastModifiedBy>Анастасия</cp:lastModifiedBy>
  <cp:revision>7</cp:revision>
  <dcterms:created xsi:type="dcterms:W3CDTF">2026-10-12T11:19:00Z</dcterms:created>
  <dcterms:modified xsi:type="dcterms:W3CDTF">2026-10-12T13:33:00Z</dcterms:modified>
  <cp:version>1048576</cp:version>
</cp:coreProperties>
</file>