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300F" w:rsidRDefault="00000000">
      <w:pPr>
        <w:ind w:left="-709"/>
        <w:jc w:val="center"/>
        <w:rPr>
          <w:lang w:val="en-US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339840" cy="826770"/>
                <wp:effectExtent l="0" t="0" r="381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339840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99.2pt;height:65.1pt;" stroked="f">
                <v:path textboxrect="0,0,0,0"/>
                <v:imagedata r:id="rId13" o:title=""/>
              </v:shape>
            </w:pict>
          </mc:Fallback>
        </mc:AlternateContent>
      </w:r>
    </w:p>
    <w:p w:rsidR="00E2300F" w:rsidRDefault="00000000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13 - 14 декабря 2023 г.</w:t>
      </w:r>
    </w:p>
    <w:p w:rsidR="00E2300F" w:rsidRDefault="00000000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</w:t>
      </w:r>
    </w:p>
    <w:p w:rsidR="00E2300F" w:rsidRDefault="00000000">
      <w:pPr>
        <w:pStyle w:val="docdata"/>
        <w:spacing w:before="0" w:beforeAutospacing="0" w:after="0" w:afterAutospacing="0"/>
        <w:ind w:left="-567"/>
        <w:jc w:val="center"/>
      </w:pPr>
      <w:r>
        <w:rPr>
          <w:b/>
          <w:bCs/>
          <w:color w:val="000000"/>
        </w:rPr>
        <w:t xml:space="preserve">«Регуляторные требования, подходы и практика деятельности профессиональных участников рынка ценных бумаг в вопросах правоприменения и соблюдения мер, предусмотренных указами Президента Российской Федерации; </w:t>
      </w:r>
      <w:r>
        <w:rPr>
          <w:b/>
          <w:bCs/>
          <w:color w:val="000000"/>
        </w:rPr>
        <w:br/>
        <w:t>вопросы разблокировки активов (</w:t>
      </w:r>
      <w:proofErr w:type="spellStart"/>
      <w:r>
        <w:rPr>
          <w:b/>
          <w:bCs/>
          <w:color w:val="000000"/>
        </w:rPr>
        <w:t>Euroclear</w:t>
      </w:r>
      <w:proofErr w:type="spellEnd"/>
      <w:r>
        <w:rPr>
          <w:b/>
          <w:bCs/>
          <w:color w:val="000000"/>
        </w:rPr>
        <w:t>, НРД)</w:t>
      </w:r>
      <w:r>
        <w:rPr>
          <w:b/>
          <w:bCs/>
          <w:color w:val="000000"/>
          <w:shd w:val="clear" w:color="auto" w:fill="FFFFFF"/>
        </w:rPr>
        <w:t>»</w:t>
      </w:r>
    </w:p>
    <w:p w:rsidR="00E2300F" w:rsidRDefault="00E2300F">
      <w:pPr>
        <w:ind w:hanging="1134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E2300F" w:rsidRDefault="00000000">
      <w:pPr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профессиональных участников рынка ценных бумаг принять участие в уникальном семинаре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741F23" w:rsidRPr="00741F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Регуляторные требования, подходы и практика деятельности профессиональных участников рынка ценных бумаг в вопросах правоприменения и соблюдения мер, предусмотренных указами Президента Российской Федерации; вопросы разблокировки активов (</w:t>
      </w:r>
      <w:proofErr w:type="spellStart"/>
      <w:r w:rsidR="00741F23" w:rsidRPr="00741F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Euroclear</w:t>
      </w:r>
      <w:proofErr w:type="spellEnd"/>
      <w:r w:rsidR="00741F23" w:rsidRPr="00741F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НРД)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который состоится в Москве </w:t>
      </w:r>
      <w:r>
        <w:rPr>
          <w:rFonts w:ascii="Times New Roman" w:hAnsi="Times New Roman" w:cs="Times New Roman"/>
          <w:b/>
          <w:bCs/>
          <w:sz w:val="24"/>
          <w:szCs w:val="24"/>
        </w:rPr>
        <w:t>13-14 декабря 2023 года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Возможно участие онлайн.</w:t>
      </w:r>
    </w:p>
    <w:p w:rsidR="00E2300F" w:rsidRDefault="00E2300F">
      <w:pPr>
        <w:spacing w:line="220" w:lineRule="exact"/>
        <w:ind w:left="-851"/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afd"/>
        <w:tblW w:w="10319" w:type="dxa"/>
        <w:tblInd w:w="-572" w:type="dxa"/>
        <w:tblLook w:val="01E0" w:firstRow="1" w:lastRow="1" w:firstColumn="1" w:lastColumn="1" w:noHBand="0" w:noVBand="0"/>
      </w:tblPr>
      <w:tblGrid>
        <w:gridCol w:w="10319"/>
      </w:tblGrid>
      <w:tr w:rsidR="00E2300F">
        <w:tc>
          <w:tcPr>
            <w:tcW w:w="10319" w:type="dxa"/>
          </w:tcPr>
          <w:p w:rsidR="00E2300F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Семинар состоит из двух частей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Первая часть (13.12.23, 19.30-22.00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включает вопросы правоприменения (проводит представитель Банка России). Во второй части (14.12.23, 18.30-21.30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рассматриваются подходы, практика по соблюдению соответствующих указов Президента Российской Федерации, а также решению задач по разблокировке активов, в том числе «обмену» активов на сумму до 100 000 рублей (проводит эксперт-практик).</w:t>
            </w:r>
          </w:p>
          <w:p w:rsidR="00E2300F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 Банка России рассмотрит правоприменение ряда требований к деятельности ПУРЦБ по вопросам:</w:t>
            </w:r>
          </w:p>
          <w:p w:rsidR="00E2300F" w:rsidRDefault="00000000">
            <w:pPr>
              <w:numPr>
                <w:ilvl w:val="0"/>
                <w:numId w:val="25"/>
              </w:numPr>
              <w:ind w:left="1440" w:hanging="10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соблюдения лицензионных требований и условий;</w:t>
            </w:r>
          </w:p>
          <w:p w:rsidR="00E2300F" w:rsidRDefault="00000000">
            <w:pPr>
              <w:numPr>
                <w:ilvl w:val="0"/>
                <w:numId w:val="25"/>
              </w:numPr>
              <w:ind w:left="1440" w:hanging="10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соблюдения нормативов краткосрочной ликвидности, достаточности капитала;</w:t>
            </w:r>
          </w:p>
          <w:p w:rsidR="00E2300F" w:rsidRDefault="00000000">
            <w:pPr>
              <w:numPr>
                <w:ilvl w:val="0"/>
                <w:numId w:val="25"/>
              </w:numPr>
              <w:ind w:left="1440" w:hanging="10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внутреннего контроля и внутреннего аудита;</w:t>
            </w:r>
          </w:p>
          <w:p w:rsidR="00E2300F" w:rsidRDefault="00000000">
            <w:pPr>
              <w:numPr>
                <w:ilvl w:val="0"/>
                <w:numId w:val="25"/>
              </w:numPr>
              <w:ind w:left="1440" w:hanging="10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управления рисками;</w:t>
            </w:r>
          </w:p>
          <w:p w:rsidR="00E2300F" w:rsidRDefault="00000000">
            <w:pPr>
              <w:numPr>
                <w:ilvl w:val="0"/>
                <w:numId w:val="25"/>
              </w:numPr>
              <w:ind w:left="1440" w:hanging="10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порядка осуществления брокерской деятельности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др.</w:t>
            </w:r>
          </w:p>
          <w:p w:rsidR="00E2300F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Эксперт-практик рассмотрит подходы, практики:</w:t>
            </w:r>
          </w:p>
          <w:p w:rsidR="00E2300F" w:rsidRDefault="00000000">
            <w:pPr>
              <w:numPr>
                <w:ilvl w:val="0"/>
                <w:numId w:val="25"/>
              </w:numPr>
              <w:ind w:left="636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соблюдению ПУРЦБ требований указов Президента Российской Федерации (от 01.03.2022 № 81, от 05.03.2022 № 95, от 03.03.2023 № 138);</w:t>
            </w:r>
          </w:p>
          <w:p w:rsidR="00E2300F" w:rsidRDefault="00000000">
            <w:pPr>
              <w:numPr>
                <w:ilvl w:val="0"/>
                <w:numId w:val="25"/>
              </w:numPr>
              <w:ind w:left="1440" w:hanging="108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реализации указа Президента Российской Федерации от 08.11.2023 № 844;</w:t>
            </w:r>
          </w:p>
          <w:p w:rsidR="00E2300F" w:rsidRDefault="00000000">
            <w:pPr>
              <w:numPr>
                <w:ilvl w:val="0"/>
                <w:numId w:val="25"/>
              </w:numPr>
              <w:ind w:left="636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получению лицензии от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Евроклир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«разблокировку» активов и взаимодействию с НРД после получения соответствующей лицензии.</w:t>
            </w:r>
          </w:p>
          <w:p w:rsidR="00E2300F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Семинар рассчитан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руководителей, контролеров, юристов организаций, осуществляющих профессиональную деятельность на рынке ценных бумаг, в том числе кредитных организаций, являющихся профессиональными участниками рынка ценных бумаг.</w:t>
            </w:r>
          </w:p>
        </w:tc>
      </w:tr>
    </w:tbl>
    <w:p w:rsidR="00E2300F" w:rsidRDefault="00000000">
      <w:pPr>
        <w:spacing w:before="120" w:after="80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программе семинара:</w:t>
      </w:r>
    </w:p>
    <w:tbl>
      <w:tblPr>
        <w:tblStyle w:val="afd"/>
        <w:tblW w:w="10343" w:type="dxa"/>
        <w:tblInd w:w="-567" w:type="dxa"/>
        <w:tblLook w:val="04A0" w:firstRow="1" w:lastRow="0" w:firstColumn="1" w:lastColumn="0" w:noHBand="0" w:noVBand="1"/>
      </w:tblPr>
      <w:tblGrid>
        <w:gridCol w:w="10343"/>
      </w:tblGrid>
      <w:tr w:rsidR="00E2300F">
        <w:tc>
          <w:tcPr>
            <w:tcW w:w="10343" w:type="dxa"/>
            <w:shd w:val="clear" w:color="auto" w:fill="D9D9D9" w:themeFill="background1" w:themeFillShade="D9"/>
          </w:tcPr>
          <w:p w:rsidR="00E2300F" w:rsidRDefault="00000000">
            <w:pPr>
              <w:ind w:hanging="53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декабря 2023г.</w:t>
            </w:r>
          </w:p>
          <w:p w:rsidR="00E2300F" w:rsidRDefault="00000000">
            <w:pPr>
              <w:ind w:hanging="53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19.30-22.00</w:t>
            </w:r>
          </w:p>
        </w:tc>
      </w:tr>
      <w:tr w:rsidR="00E2300F">
        <w:tc>
          <w:tcPr>
            <w:tcW w:w="10343" w:type="dxa"/>
          </w:tcPr>
          <w:p w:rsidR="00E2300F" w:rsidRDefault="00000000">
            <w:pPr>
              <w:pStyle w:val="aff0"/>
              <w:ind w:left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правоприменения требований, предъявляемых к профессиональным участникам рынка ценных бумаг, по следующим направлениям:</w:t>
            </w:r>
          </w:p>
          <w:p w:rsidR="00E2300F" w:rsidRDefault="00000000">
            <w:pPr>
              <w:pStyle w:val="aff0"/>
              <w:numPr>
                <w:ilvl w:val="0"/>
                <w:numId w:val="27"/>
              </w:numPr>
              <w:tabs>
                <w:tab w:val="clear" w:pos="720"/>
                <w:tab w:val="num" w:pos="446"/>
              </w:tabs>
              <w:ind w:left="0" w:firstLin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Требования к порядку ведения профессиональными участниками внутреннего учета (Положение Банка России от 31.01.2017 № 577-П (ред. от 13.08.2020). </w:t>
            </w:r>
          </w:p>
          <w:p w:rsidR="00E2300F" w:rsidRDefault="00000000">
            <w:pPr>
              <w:pStyle w:val="aff0"/>
              <w:numPr>
                <w:ilvl w:val="0"/>
                <w:numId w:val="27"/>
              </w:numPr>
              <w:tabs>
                <w:tab w:val="clear" w:pos="720"/>
                <w:tab w:val="num" w:pos="446"/>
              </w:tabs>
              <w:ind w:left="0" w:firstLin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организации и осуществлению профессиональным участником внутреннего контроля и внутреннего аудита (Указание Банка России от 28.12.2020г. № 5683-У).</w:t>
            </w:r>
          </w:p>
          <w:p w:rsidR="00E2300F" w:rsidRDefault="00000000">
            <w:pPr>
              <w:pStyle w:val="aff0"/>
              <w:numPr>
                <w:ilvl w:val="0"/>
                <w:numId w:val="27"/>
              </w:numPr>
              <w:tabs>
                <w:tab w:val="clear" w:pos="720"/>
                <w:tab w:val="num" w:pos="446"/>
              </w:tabs>
              <w:ind w:left="0" w:firstLin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порядку осуществления брокерской деятельности при совершении операций с денежными средствами клиентов (Указание Банка России от 07.12.2020 № 5652-У).</w:t>
            </w:r>
          </w:p>
          <w:p w:rsidR="00E2300F" w:rsidRDefault="00000000">
            <w:pPr>
              <w:pStyle w:val="aff0"/>
              <w:numPr>
                <w:ilvl w:val="0"/>
                <w:numId w:val="27"/>
              </w:numPr>
              <w:tabs>
                <w:tab w:val="clear" w:pos="720"/>
                <w:tab w:val="num" w:pos="446"/>
              </w:tabs>
              <w:ind w:left="0" w:firstLin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аспекты требований к осуществлению брокерской деятельности при совершении сделок, по которым возникает непокрытая позиция (Указании Банка России от 26.11.2020 № 5636-У).</w:t>
            </w:r>
          </w:p>
          <w:p w:rsidR="00E2300F" w:rsidRDefault="00000000">
            <w:pPr>
              <w:pStyle w:val="aff0"/>
              <w:numPr>
                <w:ilvl w:val="0"/>
                <w:numId w:val="27"/>
              </w:numPr>
              <w:tabs>
                <w:tab w:val="clear" w:pos="720"/>
                <w:tab w:val="num" w:pos="446"/>
              </w:tabs>
              <w:ind w:left="0" w:firstLin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 к осуществлению профессиональной деятельности на рынке ценных бумаг в части расчета размера собственных средств (Указание Банка России от 06.06.2017 № 5099-У). Вопросы правоприменения Решения СД о требованиях к порядку расчета размера собственных средств от 29.12.2022. Основные изменения порядка расчета размера собственных средств, предусмотренные в проекте указания БР «О внесении изменений в Указание Банка России от 22 марта 2019 года № 5099-У «О требованиях к расчету размера собственных средств при осуществлении профессиональной деятельности на рынке ценных бумаг, а также при получении лицензии (лицензий) на осуществление профессиональной деятельности на рынке ценных бумаг».</w:t>
            </w:r>
          </w:p>
          <w:p w:rsidR="00E2300F" w:rsidRDefault="00000000">
            <w:pPr>
              <w:pStyle w:val="aff0"/>
              <w:numPr>
                <w:ilvl w:val="0"/>
                <w:numId w:val="27"/>
              </w:numPr>
              <w:tabs>
                <w:tab w:val="clear" w:pos="720"/>
                <w:tab w:val="num" w:pos="446"/>
              </w:tabs>
              <w:ind w:left="0" w:firstLin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особенности расчета норматива краткосрочной ликвидности (Указание Банка России от 13.04.2020 № 5436-У). Вопросы правоприменения Решения СД о требованиях к порядку расчета норматива краткосрочной ликвидности от 29.19.2022.</w:t>
            </w:r>
          </w:p>
          <w:p w:rsidR="00E2300F" w:rsidRDefault="00000000">
            <w:pPr>
              <w:pStyle w:val="aff0"/>
              <w:numPr>
                <w:ilvl w:val="0"/>
                <w:numId w:val="27"/>
              </w:numPr>
              <w:tabs>
                <w:tab w:val="clear" w:pos="720"/>
                <w:tab w:val="num" w:pos="446"/>
              </w:tabs>
              <w:ind w:left="0" w:firstLin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аспекты правил расчета норматива достаточности капитала (Указание Банка России от 02.08.2021 № 5873-У). Вопросы правоприменения Решения СД о требованиях правил расчета норматива достаточности капитала от 29.12.2022. Основные изменения правил расчета норматива достаточности капитала, предусмотренные в проекте указания БР «О внесении изменений в Указание от 2 августа 2021 года № 5873-У «Об установлении обязательного норматива достаточности капитала для профессиональных участников рынка ценных бумаг, осуществляющих дилерскую, брокерскую деятельность, деятельность по управлению ценными бумагами и деятельность форекс-дилеров».</w:t>
            </w:r>
          </w:p>
          <w:p w:rsidR="00E2300F" w:rsidRDefault="00000000">
            <w:pPr>
              <w:pStyle w:val="aff0"/>
              <w:numPr>
                <w:ilvl w:val="0"/>
                <w:numId w:val="27"/>
              </w:numPr>
              <w:tabs>
                <w:tab w:val="clear" w:pos="720"/>
                <w:tab w:val="num" w:pos="446"/>
              </w:tabs>
              <w:ind w:left="0" w:firstLin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аспекты требований к организации профессиональным участником рынка ценных бумаг системы управления рисками (Указание Банка России от 21.08.2017 № 4501-У).</w:t>
            </w:r>
          </w:p>
          <w:p w:rsidR="00E2300F" w:rsidRDefault="00000000">
            <w:pPr>
              <w:pStyle w:val="aff0"/>
              <w:numPr>
                <w:ilvl w:val="0"/>
                <w:numId w:val="27"/>
              </w:numPr>
              <w:tabs>
                <w:tab w:val="clear" w:pos="720"/>
                <w:tab w:val="num" w:pos="446"/>
              </w:tabs>
              <w:ind w:left="0" w:firstLin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Лицензионные требования и условия осуществления профессиональной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 деятельности на рынке ценных бумаг (Положение Банка России от 27.07.2015 N 481-П.</w:t>
            </w:r>
          </w:p>
          <w:p w:rsidR="00E2300F" w:rsidRDefault="00000000">
            <w:pPr>
              <w:pStyle w:val="aff0"/>
              <w:numPr>
                <w:ilvl w:val="0"/>
                <w:numId w:val="27"/>
              </w:numPr>
              <w:tabs>
                <w:tab w:val="clear" w:pos="720"/>
                <w:tab w:val="num" w:pos="446"/>
              </w:tabs>
              <w:ind w:left="0" w:firstLin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аспекты требований, направленных на выявление конфликта интересов, управление им и предотвращение его реализации (Указание Банка России от 23.08.2021 № 5899-У).</w:t>
            </w:r>
          </w:p>
          <w:p w:rsidR="00E2300F" w:rsidRDefault="00000000">
            <w:pPr>
              <w:pStyle w:val="aff0"/>
              <w:numPr>
                <w:ilvl w:val="0"/>
                <w:numId w:val="27"/>
              </w:numPr>
              <w:tabs>
                <w:tab w:val="clear" w:pos="720"/>
                <w:tab w:val="num" w:pos="446"/>
              </w:tabs>
              <w:ind w:left="0" w:firstLin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Указание Банка России от 26.09.2022 № 6264-У «О требованиях к осуществлению профессиональными участниками рынка ценных бумаг брокерской, дилерской деятельности, деятельности по управлению ценными бумагами и деятельности (проведению операций) управляющих компаний инвестиционных фондов, паевых инвестиционных фондов и негосударственных пенсионных фондов в части предоставления на биржу информации о заключенных ими не на организованных торгах договорах купли-продажи ценных бумаг, а также правилах, составе, порядке и сроках ее раскрытия биржей».</w:t>
            </w:r>
          </w:p>
          <w:p w:rsidR="00E2300F" w:rsidRDefault="00000000">
            <w:pPr>
              <w:pStyle w:val="aff0"/>
              <w:numPr>
                <w:ilvl w:val="0"/>
                <w:numId w:val="27"/>
              </w:numPr>
              <w:tabs>
                <w:tab w:val="clear" w:pos="720"/>
                <w:tab w:val="num" w:pos="446"/>
              </w:tabs>
              <w:ind w:left="0" w:firstLin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</w:tc>
      </w:tr>
      <w:tr w:rsidR="00E2300F">
        <w:tc>
          <w:tcPr>
            <w:tcW w:w="10343" w:type="dxa"/>
            <w:shd w:val="clear" w:color="auto" w:fill="D9D9D9" w:themeFill="background1" w:themeFillShade="D9"/>
          </w:tcPr>
          <w:p w:rsidR="00E2300F" w:rsidRDefault="00000000">
            <w:pPr>
              <w:ind w:hanging="53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14 декабря 2023г.</w:t>
            </w:r>
          </w:p>
          <w:p w:rsidR="00E2300F" w:rsidRDefault="00000000">
            <w:pPr>
              <w:tabs>
                <w:tab w:val="left" w:pos="1876"/>
              </w:tabs>
              <w:ind w:left="-251" w:hanging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18.30-21.30</w:t>
            </w:r>
          </w:p>
        </w:tc>
      </w:tr>
      <w:tr w:rsidR="00E2300F">
        <w:tc>
          <w:tcPr>
            <w:tcW w:w="10343" w:type="dxa"/>
          </w:tcPr>
          <w:p w:rsidR="00E2300F" w:rsidRDefault="00000000">
            <w:pPr>
              <w:pStyle w:val="aff0"/>
              <w:numPr>
                <w:ilvl w:val="0"/>
                <w:numId w:val="28"/>
              </w:numPr>
              <w:ind w:left="316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профессиональным участником рынка ценных бумаг мер воздействия (противодействия), направленных на обеспечение финансовой стабильности Российской Федерации.</w:t>
            </w:r>
          </w:p>
          <w:p w:rsidR="00E2300F" w:rsidRDefault="00000000">
            <w:pPr>
              <w:ind w:left="31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 Правовая сущность и влияние на деятельность ПУРЦБ (с учетом официальных разъяснений Банка России) указов Президента Российской Федерации: Указ от 01.03.2022 № 81, Указ от 05.03.2022 № 95, Указ от. 03.03.2023 № 138.</w:t>
            </w:r>
          </w:p>
          <w:p w:rsidR="00E2300F" w:rsidRDefault="00000000">
            <w:pPr>
              <w:ind w:left="31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 Подходы и практики ПУРЦ при проверке сделок (операций) на предмет соблюдения требований указов Президента Российской Федерации. Критерии сделок, которые могут свидетельствовать о повышенном риску нарушения указов Президента Российской Федерации.</w:t>
            </w:r>
          </w:p>
          <w:p w:rsidR="00E2300F" w:rsidRDefault="00000000">
            <w:pPr>
              <w:ind w:left="31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 Внутренний документ ПУРЦБ, регламентирующий порядок и сроки проведения контрольных процедур на предмет соответствия сделок (операций).</w:t>
            </w:r>
          </w:p>
          <w:p w:rsidR="00E2300F" w:rsidRDefault="00000000">
            <w:pPr>
              <w:ind w:left="31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1.4 Правовые аспекты сделок с иностранными бумагами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нелружественных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нерезидентов (ситуации инвесторов и финансовых посредников — ПУРЦБ): мнения эксперта.</w:t>
            </w:r>
          </w:p>
          <w:p w:rsidR="00E2300F" w:rsidRDefault="00000000">
            <w:pPr>
              <w:pStyle w:val="aff0"/>
              <w:numPr>
                <w:ilvl w:val="0"/>
                <w:numId w:val="28"/>
              </w:numPr>
              <w:ind w:left="316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Разблокировка иностранных ценных бумаг на сумму до 100 000 рублей. Указ Президента Российской Федерации от 08.11.2023 № 844 и возможные механизмы его реализации ПУРЦБ.</w:t>
            </w:r>
          </w:p>
          <w:p w:rsidR="00E2300F" w:rsidRDefault="00000000">
            <w:pPr>
              <w:pStyle w:val="aff0"/>
              <w:numPr>
                <w:ilvl w:val="0"/>
                <w:numId w:val="28"/>
              </w:numPr>
              <w:ind w:left="316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Текущая ситуация и комментарии эксперта по вопросу получения лицензий на разблокировку активов от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Евроклир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2300F" w:rsidRDefault="00000000">
            <w:pPr>
              <w:pStyle w:val="aff0"/>
              <w:numPr>
                <w:ilvl w:val="0"/>
                <w:numId w:val="28"/>
              </w:numPr>
              <w:ind w:left="316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с НРД лица, получившего лицензию на разблокировку активов: мнения и комментарии эксперта.</w:t>
            </w:r>
          </w:p>
          <w:p w:rsidR="00E2300F" w:rsidRDefault="00000000">
            <w:pPr>
              <w:pStyle w:val="aff0"/>
              <w:numPr>
                <w:ilvl w:val="0"/>
                <w:numId w:val="28"/>
              </w:numPr>
              <w:ind w:left="316" w:hanging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Ответы на вопросы.</w:t>
            </w:r>
          </w:p>
        </w:tc>
      </w:tr>
    </w:tbl>
    <w:p w:rsidR="00E2300F" w:rsidRDefault="00000000"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На семинаре выступят: </w:t>
      </w:r>
    </w:p>
    <w:p w:rsidR="00E2300F" w:rsidRDefault="00000000">
      <w:pPr>
        <w:ind w:left="-85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Представитель Банка России;</w:t>
      </w:r>
    </w:p>
    <w:p w:rsidR="00E2300F" w:rsidRDefault="00000000">
      <w:pPr>
        <w:ind w:left="-85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Рязанова Е.Е., заместитель руководителя юридического департамента инвестиционного банка — профессионального участника рынка ценных бумаг, преподаватель Института МФЦ, ассоциированный арбитр Арбитражного центра при РСПП.</w:t>
      </w:r>
    </w:p>
    <w:p w:rsidR="00E2300F" w:rsidRDefault="00E2300F"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</w:p>
    <w:p w:rsidR="00E2300F" w:rsidRDefault="00000000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проведения. </w:t>
      </w:r>
      <w:r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 30, стр. 1 Проезд до станции метро «Преображенская площадь». Возможно участие онлайн.</w:t>
      </w:r>
    </w:p>
    <w:p w:rsidR="00E2300F" w:rsidRDefault="00E2300F">
      <w:pPr>
        <w:ind w:left="-851"/>
        <w:rPr>
          <w:rFonts w:ascii="Times New Roman" w:hAnsi="Times New Roman" w:cs="Times New Roman"/>
          <w:b/>
          <w:sz w:val="24"/>
          <w:szCs w:val="24"/>
        </w:rPr>
      </w:pPr>
    </w:p>
    <w:p w:rsidR="00E2300F" w:rsidRDefault="00000000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и скидки.</w:t>
      </w:r>
      <w:r>
        <w:rPr>
          <w:rFonts w:ascii="Times New Roman" w:hAnsi="Times New Roman" w:cs="Times New Roman"/>
          <w:sz w:val="24"/>
          <w:szCs w:val="24"/>
        </w:rPr>
        <w:t xml:space="preserve"> Стоимость участия в семинаре 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12 000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(двенадцать тысяч рублей). Скидки</w:t>
      </w:r>
      <w:r>
        <w:rPr>
          <w:rFonts w:ascii="Times New Roman" w:hAnsi="Times New Roman" w:cs="Times New Roman"/>
          <w:sz w:val="24"/>
          <w:szCs w:val="24"/>
        </w:rPr>
        <w:t xml:space="preserve"> в размере </w:t>
      </w:r>
      <w:r>
        <w:rPr>
          <w:rFonts w:ascii="Times New Roman" w:hAnsi="Times New Roman" w:cs="Times New Roman"/>
          <w:b/>
          <w:bCs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 МФЦ/Учебного центра МФЦ, а также начиная со второго слушателя от одной организации (10 процентов). В стоимость включаются кофе-брейк (для «очных» участников) и методические материалы.</w:t>
      </w:r>
    </w:p>
    <w:p w:rsidR="00E2300F" w:rsidRDefault="00E2300F"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</w:p>
    <w:p w:rsidR="00E2300F" w:rsidRDefault="00000000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 в семинаре просьба направлять до 12 декабря 2023 г. включительно на имя Ивановой Марии,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Махнович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Инна по тел./ф. (495) 921-2273,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4" w:tooltip="http://www.educenter.ru" w:history="1">
        <w:r>
          <w:rPr>
            <w:rStyle w:val="af1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p w:rsidR="00E2300F" w:rsidRDefault="00E2300F">
      <w:pPr>
        <w:rPr>
          <w:rFonts w:ascii="Times New Roman" w:hAnsi="Times New Roman" w:cs="Times New Roman"/>
          <w:sz w:val="24"/>
          <w:szCs w:val="24"/>
        </w:rPr>
      </w:pPr>
    </w:p>
    <w:sectPr w:rsidR="00E2300F">
      <w:footerReference w:type="default" r:id="rId15"/>
      <w:pgSz w:w="11906" w:h="16838"/>
      <w:pgMar w:top="568" w:right="566" w:bottom="851" w:left="1701" w:header="720" w:footer="2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7389E" w:rsidRDefault="00F7389E">
      <w:r>
        <w:separator/>
      </w:r>
    </w:p>
  </w:endnote>
  <w:endnote w:type="continuationSeparator" w:id="0">
    <w:p w:rsidR="00F7389E" w:rsidRDefault="00F7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5740938"/>
      <w:docPartObj>
        <w:docPartGallery w:val="Page Numbers (Bottom of Page)"/>
        <w:docPartUnique/>
      </w:docPartObj>
    </w:sdtPr>
    <w:sdtContent>
      <w:p w:rsidR="00E2300F" w:rsidRDefault="00000000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:rsidR="00E2300F" w:rsidRDefault="00E2300F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7389E" w:rsidRDefault="00F7389E">
      <w:r>
        <w:separator/>
      </w:r>
    </w:p>
  </w:footnote>
  <w:footnote w:type="continuationSeparator" w:id="0">
    <w:p w:rsidR="00F7389E" w:rsidRDefault="00F73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4602"/>
    <w:multiLevelType w:val="hybridMultilevel"/>
    <w:tmpl w:val="D70C6834"/>
    <w:lvl w:ilvl="0" w:tplc="0AFE112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A7EC9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360C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D485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9A65C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83C26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8CC4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A08DA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18C7D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CD31200"/>
    <w:multiLevelType w:val="hybridMultilevel"/>
    <w:tmpl w:val="8BB41FAA"/>
    <w:lvl w:ilvl="0" w:tplc="FD288FC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C868A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298C9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401C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DA88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39CBD3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FFC70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4F25C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61AF9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DBB3A65"/>
    <w:multiLevelType w:val="hybridMultilevel"/>
    <w:tmpl w:val="D244FFBC"/>
    <w:lvl w:ilvl="0" w:tplc="9E4401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DC36C0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A6858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B322F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F9893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D0C1E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3D41E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4EC8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18464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0B4401A"/>
    <w:multiLevelType w:val="hybridMultilevel"/>
    <w:tmpl w:val="EC287F04"/>
    <w:lvl w:ilvl="0" w:tplc="56D466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2D1264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7E37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362C9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E4FC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818DA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D7EEF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C704B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D58E5A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4E8217E"/>
    <w:multiLevelType w:val="hybridMultilevel"/>
    <w:tmpl w:val="0C28984A"/>
    <w:lvl w:ilvl="0" w:tplc="E45A160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73BC53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CEB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46F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94CB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E0B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C54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B464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8C43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E505D"/>
    <w:multiLevelType w:val="hybridMultilevel"/>
    <w:tmpl w:val="86A4A5DC"/>
    <w:lvl w:ilvl="0" w:tplc="60E23916">
      <w:start w:val="1"/>
      <w:numFmt w:val="bullet"/>
      <w:lvlText w:val="-"/>
      <w:lvlJc w:val="left"/>
      <w:pPr>
        <w:ind w:left="578" w:hanging="360"/>
      </w:pPr>
      <w:rPr>
        <w:rFonts w:ascii="Symbol" w:hAnsi="Symbol" w:hint="default"/>
      </w:rPr>
    </w:lvl>
    <w:lvl w:ilvl="1" w:tplc="910E64C8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A3462E20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CAE2D5BC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4F446FC6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A31E3B50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E7EE2B2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44ACDE8C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3842A374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CF8746B"/>
    <w:multiLevelType w:val="hybridMultilevel"/>
    <w:tmpl w:val="DB806FFC"/>
    <w:lvl w:ilvl="0" w:tplc="75082DC4">
      <w:start w:val="1"/>
      <w:numFmt w:val="decimal"/>
      <w:lvlText w:val="%1."/>
      <w:lvlJc w:val="left"/>
      <w:pPr>
        <w:ind w:left="720" w:hanging="360"/>
      </w:pPr>
    </w:lvl>
    <w:lvl w:ilvl="1" w:tplc="219CCF52">
      <w:start w:val="1"/>
      <w:numFmt w:val="lowerLetter"/>
      <w:lvlText w:val="%2."/>
      <w:lvlJc w:val="left"/>
      <w:pPr>
        <w:ind w:left="1440" w:hanging="360"/>
      </w:pPr>
    </w:lvl>
    <w:lvl w:ilvl="2" w:tplc="32649C5C">
      <w:start w:val="1"/>
      <w:numFmt w:val="lowerRoman"/>
      <w:lvlText w:val="%3."/>
      <w:lvlJc w:val="right"/>
      <w:pPr>
        <w:ind w:left="2160" w:hanging="180"/>
      </w:pPr>
    </w:lvl>
    <w:lvl w:ilvl="3" w:tplc="DFC63130">
      <w:start w:val="1"/>
      <w:numFmt w:val="decimal"/>
      <w:lvlText w:val="%4."/>
      <w:lvlJc w:val="left"/>
      <w:pPr>
        <w:ind w:left="2880" w:hanging="360"/>
      </w:pPr>
    </w:lvl>
    <w:lvl w:ilvl="4" w:tplc="7CE0288A">
      <w:start w:val="1"/>
      <w:numFmt w:val="lowerLetter"/>
      <w:lvlText w:val="%5."/>
      <w:lvlJc w:val="left"/>
      <w:pPr>
        <w:ind w:left="3600" w:hanging="360"/>
      </w:pPr>
    </w:lvl>
    <w:lvl w:ilvl="5" w:tplc="A2984108">
      <w:start w:val="1"/>
      <w:numFmt w:val="lowerRoman"/>
      <w:lvlText w:val="%6."/>
      <w:lvlJc w:val="right"/>
      <w:pPr>
        <w:ind w:left="4320" w:hanging="180"/>
      </w:pPr>
    </w:lvl>
    <w:lvl w:ilvl="6" w:tplc="2D160E32">
      <w:start w:val="1"/>
      <w:numFmt w:val="decimal"/>
      <w:lvlText w:val="%7."/>
      <w:lvlJc w:val="left"/>
      <w:pPr>
        <w:ind w:left="5040" w:hanging="360"/>
      </w:pPr>
    </w:lvl>
    <w:lvl w:ilvl="7" w:tplc="F3489A16">
      <w:start w:val="1"/>
      <w:numFmt w:val="lowerLetter"/>
      <w:lvlText w:val="%8."/>
      <w:lvlJc w:val="left"/>
      <w:pPr>
        <w:ind w:left="5760" w:hanging="360"/>
      </w:pPr>
    </w:lvl>
    <w:lvl w:ilvl="8" w:tplc="E902B62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C3A07"/>
    <w:multiLevelType w:val="hybridMultilevel"/>
    <w:tmpl w:val="9B1641F8"/>
    <w:lvl w:ilvl="0" w:tplc="569C11D8">
      <w:start w:val="1"/>
      <w:numFmt w:val="bullet"/>
      <w:lvlText w:val=""/>
      <w:lvlJc w:val="left"/>
      <w:pPr>
        <w:tabs>
          <w:tab w:val="num" w:pos="1038"/>
        </w:tabs>
        <w:ind w:left="1038" w:hanging="360"/>
      </w:pPr>
      <w:rPr>
        <w:rFonts w:ascii="Symbol" w:hAnsi="Symbol" w:hint="default"/>
      </w:rPr>
    </w:lvl>
    <w:lvl w:ilvl="1" w:tplc="F9001564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hint="default"/>
      </w:rPr>
    </w:lvl>
    <w:lvl w:ilvl="2" w:tplc="FC7828F8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121AD7B6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1D1E9322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hint="default"/>
      </w:rPr>
    </w:lvl>
    <w:lvl w:ilvl="5" w:tplc="0AF0E3E8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F282FF8C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3294ADD6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hint="default"/>
      </w:rPr>
    </w:lvl>
    <w:lvl w:ilvl="8" w:tplc="632C2C7E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8" w15:restartNumberingAfterBreak="0">
    <w:nsid w:val="2E3033FD"/>
    <w:multiLevelType w:val="hybridMultilevel"/>
    <w:tmpl w:val="74CC3F84"/>
    <w:lvl w:ilvl="0" w:tplc="0F964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2BA0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73015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63E78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5CEF7F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CB00A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3FE942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F2D3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49C23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B3249B"/>
    <w:multiLevelType w:val="hybridMultilevel"/>
    <w:tmpl w:val="1764D12A"/>
    <w:lvl w:ilvl="0" w:tplc="CB96B394">
      <w:start w:val="1"/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C39261AE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E1700DBC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4C1E7B5E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3CAE70DC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B7E2A32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3A32DF10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0C8535C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5FC8014A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10" w15:restartNumberingAfterBreak="0">
    <w:nsid w:val="3A14628B"/>
    <w:multiLevelType w:val="hybridMultilevel"/>
    <w:tmpl w:val="8FC8719C"/>
    <w:lvl w:ilvl="0" w:tplc="F4CCE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82C76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7A6577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AC61C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02CE3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AA03B5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CCE89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4FE77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58313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A407161"/>
    <w:multiLevelType w:val="hybridMultilevel"/>
    <w:tmpl w:val="E2963D74"/>
    <w:lvl w:ilvl="0" w:tplc="0BB6BCC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06667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2C022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D2689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E828A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248DF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8E81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D48A1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2E09B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17D225D"/>
    <w:multiLevelType w:val="hybridMultilevel"/>
    <w:tmpl w:val="255222C8"/>
    <w:lvl w:ilvl="0" w:tplc="DC5424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59A6941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F7D66204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B790C49A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FF921018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AA8C587E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6504BCF4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8E084F24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918AEC6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 w15:restartNumberingAfterBreak="0">
    <w:nsid w:val="420B573C"/>
    <w:multiLevelType w:val="hybridMultilevel"/>
    <w:tmpl w:val="B2FA9AFA"/>
    <w:lvl w:ilvl="0" w:tplc="D9AE9C92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F7D2F8AA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4E5EE9E4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55BA187C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8F8C5BAA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24E81F50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82242A74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F6861AEA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D172AB96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4" w15:restartNumberingAfterBreak="0">
    <w:nsid w:val="45521A7F"/>
    <w:multiLevelType w:val="hybridMultilevel"/>
    <w:tmpl w:val="63C4E8E0"/>
    <w:lvl w:ilvl="0" w:tplc="654ED018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AFAE1F80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DB5E58F4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F5987A2E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9BDE29A8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5E0A22D0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E79E396A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7C454CC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7BFE2B1C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5" w15:restartNumberingAfterBreak="0">
    <w:nsid w:val="4B280120"/>
    <w:multiLevelType w:val="hybridMultilevel"/>
    <w:tmpl w:val="CB8AE452"/>
    <w:lvl w:ilvl="0" w:tplc="D35AB1E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29D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51E6B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3AE99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BC832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4AA1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FA1C0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ECE6E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236A4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4EB5381C"/>
    <w:multiLevelType w:val="hybridMultilevel"/>
    <w:tmpl w:val="B04C04F8"/>
    <w:lvl w:ilvl="0" w:tplc="1A523F28">
      <w:start w:val="1"/>
      <w:numFmt w:val="bullet"/>
      <w:lvlText w:val="-"/>
      <w:lvlJc w:val="left"/>
      <w:pPr>
        <w:ind w:left="578" w:hanging="360"/>
      </w:pPr>
      <w:rPr>
        <w:rFonts w:ascii="Symbol" w:hAnsi="Symbol" w:hint="default"/>
      </w:rPr>
    </w:lvl>
    <w:lvl w:ilvl="1" w:tplc="61B83B10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2D0EC432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4D96CC54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62409F14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4BD8007A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BF105FC6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A24CD596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6A42E6CA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4F6F1460"/>
    <w:multiLevelType w:val="hybridMultilevel"/>
    <w:tmpl w:val="DC0C69AA"/>
    <w:lvl w:ilvl="0" w:tplc="F7C607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48415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03E29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42E4CA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168C9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B9EA4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3ED69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6B099C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7847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2226F1"/>
    <w:multiLevelType w:val="hybridMultilevel"/>
    <w:tmpl w:val="583C90D6"/>
    <w:lvl w:ilvl="0" w:tplc="C86A10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A40D9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AC0A9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5C1B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068B8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EBAA7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39693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FFCAD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8EB4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665F0B07"/>
    <w:multiLevelType w:val="hybridMultilevel"/>
    <w:tmpl w:val="885841FC"/>
    <w:lvl w:ilvl="0" w:tplc="C80856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  <w:lvl w:ilvl="1" w:tplc="520C20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63ED1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AF0C7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AFC89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BE069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4B802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0B8F5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696C1B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68571D53"/>
    <w:multiLevelType w:val="hybridMultilevel"/>
    <w:tmpl w:val="79B2FCDA"/>
    <w:lvl w:ilvl="0" w:tplc="F72AC940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4998AEE6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563A68C6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ECD41300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46361292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C5528692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F59029DC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27AEAB44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C6A074CE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1" w15:restartNumberingAfterBreak="0">
    <w:nsid w:val="6BE57628"/>
    <w:multiLevelType w:val="hybridMultilevel"/>
    <w:tmpl w:val="5D4A7408"/>
    <w:lvl w:ilvl="0" w:tplc="CF8E03DC">
      <w:start w:val="1"/>
      <w:numFmt w:val="decimal"/>
      <w:lvlText w:val="%1."/>
      <w:lvlJc w:val="left"/>
      <w:pPr>
        <w:tabs>
          <w:tab w:val="num" w:pos="-698"/>
        </w:tabs>
        <w:ind w:left="-698" w:hanging="360"/>
      </w:pPr>
      <w:rPr>
        <w:rFonts w:ascii="Times New Roman" w:eastAsia="Times New Roman" w:hAnsi="Times New Roman" w:cs="Times New Roman"/>
      </w:rPr>
    </w:lvl>
    <w:lvl w:ilvl="1" w:tplc="855CC13E">
      <w:start w:val="1"/>
      <w:numFmt w:val="lowerLetter"/>
      <w:lvlText w:val="%2."/>
      <w:lvlJc w:val="left"/>
      <w:pPr>
        <w:tabs>
          <w:tab w:val="num" w:pos="22"/>
        </w:tabs>
        <w:ind w:left="22" w:hanging="360"/>
      </w:pPr>
      <w:rPr>
        <w:rFonts w:cs="Times New Roman"/>
      </w:rPr>
    </w:lvl>
    <w:lvl w:ilvl="2" w:tplc="078CEE8C">
      <w:start w:val="1"/>
      <w:numFmt w:val="lowerRoman"/>
      <w:lvlText w:val="%3."/>
      <w:lvlJc w:val="right"/>
      <w:pPr>
        <w:tabs>
          <w:tab w:val="num" w:pos="742"/>
        </w:tabs>
        <w:ind w:left="742" w:hanging="180"/>
      </w:pPr>
      <w:rPr>
        <w:rFonts w:cs="Times New Roman"/>
      </w:rPr>
    </w:lvl>
    <w:lvl w:ilvl="3" w:tplc="27DEE0B0">
      <w:start w:val="1"/>
      <w:numFmt w:val="decimal"/>
      <w:lvlText w:val="%4."/>
      <w:lvlJc w:val="left"/>
      <w:pPr>
        <w:tabs>
          <w:tab w:val="num" w:pos="1462"/>
        </w:tabs>
        <w:ind w:left="1462" w:hanging="360"/>
      </w:pPr>
      <w:rPr>
        <w:rFonts w:cs="Times New Roman"/>
      </w:rPr>
    </w:lvl>
    <w:lvl w:ilvl="4" w:tplc="5EB8301A">
      <w:start w:val="1"/>
      <w:numFmt w:val="lowerLetter"/>
      <w:lvlText w:val="%5."/>
      <w:lvlJc w:val="left"/>
      <w:pPr>
        <w:tabs>
          <w:tab w:val="num" w:pos="2182"/>
        </w:tabs>
        <w:ind w:left="2182" w:hanging="360"/>
      </w:pPr>
      <w:rPr>
        <w:rFonts w:cs="Times New Roman"/>
      </w:rPr>
    </w:lvl>
    <w:lvl w:ilvl="5" w:tplc="BE48866A">
      <w:start w:val="1"/>
      <w:numFmt w:val="lowerRoman"/>
      <w:lvlText w:val="%6."/>
      <w:lvlJc w:val="right"/>
      <w:pPr>
        <w:tabs>
          <w:tab w:val="num" w:pos="2902"/>
        </w:tabs>
        <w:ind w:left="2902" w:hanging="180"/>
      </w:pPr>
      <w:rPr>
        <w:rFonts w:cs="Times New Roman"/>
      </w:rPr>
    </w:lvl>
    <w:lvl w:ilvl="6" w:tplc="FF78631E">
      <w:start w:val="1"/>
      <w:numFmt w:val="decimal"/>
      <w:lvlText w:val="%7."/>
      <w:lvlJc w:val="left"/>
      <w:pPr>
        <w:tabs>
          <w:tab w:val="num" w:pos="3622"/>
        </w:tabs>
        <w:ind w:left="3622" w:hanging="360"/>
      </w:pPr>
      <w:rPr>
        <w:rFonts w:cs="Times New Roman"/>
      </w:rPr>
    </w:lvl>
    <w:lvl w:ilvl="7" w:tplc="F7F2A8DA">
      <w:start w:val="1"/>
      <w:numFmt w:val="lowerLetter"/>
      <w:lvlText w:val="%8."/>
      <w:lvlJc w:val="left"/>
      <w:pPr>
        <w:tabs>
          <w:tab w:val="num" w:pos="4342"/>
        </w:tabs>
        <w:ind w:left="4342" w:hanging="360"/>
      </w:pPr>
      <w:rPr>
        <w:rFonts w:cs="Times New Roman"/>
      </w:rPr>
    </w:lvl>
    <w:lvl w:ilvl="8" w:tplc="648A8F30">
      <w:start w:val="1"/>
      <w:numFmt w:val="lowerRoman"/>
      <w:lvlText w:val="%9."/>
      <w:lvlJc w:val="right"/>
      <w:pPr>
        <w:tabs>
          <w:tab w:val="num" w:pos="5062"/>
        </w:tabs>
        <w:ind w:left="5062" w:hanging="180"/>
      </w:pPr>
      <w:rPr>
        <w:rFonts w:cs="Times New Roman"/>
      </w:rPr>
    </w:lvl>
  </w:abstractNum>
  <w:abstractNum w:abstractNumId="22" w15:restartNumberingAfterBreak="0">
    <w:nsid w:val="70AC4099"/>
    <w:multiLevelType w:val="hybridMultilevel"/>
    <w:tmpl w:val="FC586810"/>
    <w:lvl w:ilvl="0" w:tplc="87B80B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5EE7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CE9A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10CE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9CA0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36B1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8E84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E8B8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1E37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9B358C"/>
    <w:multiLevelType w:val="hybridMultilevel"/>
    <w:tmpl w:val="F81AAA5A"/>
    <w:lvl w:ilvl="0" w:tplc="A8B6EC8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252A4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D507B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B78C0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2A47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55837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0DED5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EE38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094BD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78FD4D89"/>
    <w:multiLevelType w:val="hybridMultilevel"/>
    <w:tmpl w:val="AE1A9A28"/>
    <w:lvl w:ilvl="0" w:tplc="7076026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ABDE17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DC3AA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6A411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59E51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EEA42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505C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2EAC9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A58C4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7A3F11F4"/>
    <w:multiLevelType w:val="hybridMultilevel"/>
    <w:tmpl w:val="F7F65854"/>
    <w:lvl w:ilvl="0" w:tplc="075A7C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1709A4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D40E26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42046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3F49E9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93031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E6ABE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46A960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3AC2B4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C3728C1"/>
    <w:multiLevelType w:val="hybridMultilevel"/>
    <w:tmpl w:val="3B14D51E"/>
    <w:lvl w:ilvl="0" w:tplc="91003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44846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2B4EE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AC801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F44877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ECEDBE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03CCC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796F53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92EEB4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F0F2850"/>
    <w:multiLevelType w:val="hybridMultilevel"/>
    <w:tmpl w:val="9A3803B8"/>
    <w:lvl w:ilvl="0" w:tplc="EE7EE554">
      <w:start w:val="1"/>
      <w:numFmt w:val="bullet"/>
      <w:lvlText w:val="-"/>
      <w:lvlJc w:val="left"/>
      <w:pPr>
        <w:ind w:left="578" w:hanging="360"/>
      </w:pPr>
      <w:rPr>
        <w:rFonts w:ascii="Symbol" w:hAnsi="Symbol" w:hint="default"/>
      </w:rPr>
    </w:lvl>
    <w:lvl w:ilvl="1" w:tplc="77C4F99E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DE84F370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A412AECA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31DE72C6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97E6B6AE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A59A7E08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71C622F8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C052E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367489279">
    <w:abstractNumId w:val="1"/>
  </w:num>
  <w:num w:numId="2" w16cid:durableId="1943144527">
    <w:abstractNumId w:val="19"/>
  </w:num>
  <w:num w:numId="3" w16cid:durableId="345715263">
    <w:abstractNumId w:val="2"/>
  </w:num>
  <w:num w:numId="4" w16cid:durableId="1855654605">
    <w:abstractNumId w:val="15"/>
  </w:num>
  <w:num w:numId="5" w16cid:durableId="1452360283">
    <w:abstractNumId w:val="18"/>
  </w:num>
  <w:num w:numId="6" w16cid:durableId="384570053">
    <w:abstractNumId w:val="0"/>
  </w:num>
  <w:num w:numId="7" w16cid:durableId="103961756">
    <w:abstractNumId w:val="3"/>
  </w:num>
  <w:num w:numId="8" w16cid:durableId="1387947443">
    <w:abstractNumId w:val="23"/>
  </w:num>
  <w:num w:numId="9" w16cid:durableId="896016065">
    <w:abstractNumId w:val="11"/>
  </w:num>
  <w:num w:numId="10" w16cid:durableId="1906718185">
    <w:abstractNumId w:val="24"/>
  </w:num>
  <w:num w:numId="11" w16cid:durableId="1060907987">
    <w:abstractNumId w:val="13"/>
  </w:num>
  <w:num w:numId="12" w16cid:durableId="1737046986">
    <w:abstractNumId w:val="20"/>
  </w:num>
  <w:num w:numId="13" w16cid:durableId="481120714">
    <w:abstractNumId w:val="10"/>
  </w:num>
  <w:num w:numId="14" w16cid:durableId="1136727970">
    <w:abstractNumId w:val="26"/>
  </w:num>
  <w:num w:numId="15" w16cid:durableId="54814846">
    <w:abstractNumId w:val="12"/>
  </w:num>
  <w:num w:numId="16" w16cid:durableId="582957415">
    <w:abstractNumId w:val="14"/>
  </w:num>
  <w:num w:numId="17" w16cid:durableId="2144614393">
    <w:abstractNumId w:val="9"/>
  </w:num>
  <w:num w:numId="18" w16cid:durableId="1520243191">
    <w:abstractNumId w:val="25"/>
  </w:num>
  <w:num w:numId="19" w16cid:durableId="68700522">
    <w:abstractNumId w:val="7"/>
  </w:num>
  <w:num w:numId="20" w16cid:durableId="694505475">
    <w:abstractNumId w:val="21"/>
  </w:num>
  <w:num w:numId="21" w16cid:durableId="860242168">
    <w:abstractNumId w:val="4"/>
  </w:num>
  <w:num w:numId="22" w16cid:durableId="1579628303">
    <w:abstractNumId w:val="27"/>
  </w:num>
  <w:num w:numId="23" w16cid:durableId="2127235341">
    <w:abstractNumId w:val="5"/>
  </w:num>
  <w:num w:numId="24" w16cid:durableId="1293753019">
    <w:abstractNumId w:val="16"/>
  </w:num>
  <w:num w:numId="25" w16cid:durableId="1057162618">
    <w:abstractNumId w:val="17"/>
  </w:num>
  <w:num w:numId="26" w16cid:durableId="1991711644">
    <w:abstractNumId w:val="8"/>
  </w:num>
  <w:num w:numId="27" w16cid:durableId="1236010413">
    <w:abstractNumId w:val="22"/>
  </w:num>
  <w:num w:numId="28" w16cid:durableId="4470480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00F"/>
    <w:rsid w:val="00741F23"/>
    <w:rsid w:val="00D54253"/>
    <w:rsid w:val="00E2300F"/>
    <w:rsid w:val="00F7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4A16B"/>
  <w15:docId w15:val="{E7FBD267-BEC6-0B40-8C95-553994424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Cambria" w:hAnsi="Cambria" w:cs="Cambria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rPr>
      <w:rFonts w:ascii="Cambria" w:hAnsi="Cambria" w:cs="Cambria"/>
    </w:r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Arial" w:hAnsi="Arial" w:cs="Arial"/>
    </w:rPr>
  </w:style>
  <w:style w:type="character" w:styleId="af1">
    <w:name w:val="Hyperlink"/>
    <w:basedOn w:val="a0"/>
    <w:uiPriority w:val="99"/>
    <w:rPr>
      <w:rFonts w:cs="Times New Roman"/>
      <w:color w:val="0000FF"/>
      <w:u w:val="single"/>
    </w:rPr>
  </w:style>
  <w:style w:type="paragraph" w:styleId="af2">
    <w:name w:val="Body Text"/>
    <w:basedOn w:val="a"/>
    <w:link w:val="af3"/>
    <w:uiPriority w:val="99"/>
    <w:pPr>
      <w:jc w:val="left"/>
    </w:pPr>
    <w:rPr>
      <w:sz w:val="26"/>
      <w:szCs w:val="26"/>
    </w:rPr>
  </w:style>
  <w:style w:type="character" w:customStyle="1" w:styleId="af3">
    <w:name w:val="Основной текст Знак"/>
    <w:basedOn w:val="a0"/>
    <w:link w:val="af2"/>
    <w:uiPriority w:val="99"/>
    <w:semiHidden/>
    <w:rPr>
      <w:rFonts w:ascii="Arial" w:hAnsi="Arial" w:cs="Arial"/>
    </w:rPr>
  </w:style>
  <w:style w:type="paragraph" w:styleId="af4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5">
    <w:name w:val="Body Text Indent 2"/>
    <w:basedOn w:val="a"/>
    <w:link w:val="26"/>
    <w:uiPriority w:val="99"/>
    <w:pPr>
      <w:ind w:right="46" w:firstLine="4"/>
    </w:pPr>
    <w:rPr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Pr>
      <w:rFonts w:ascii="Arial" w:hAnsi="Arial" w:cs="Arial"/>
    </w:rPr>
  </w:style>
  <w:style w:type="paragraph" w:styleId="27">
    <w:name w:val="Body Text 2"/>
    <w:basedOn w:val="a"/>
    <w:link w:val="28"/>
    <w:uiPriority w:val="99"/>
    <w:pPr>
      <w:jc w:val="left"/>
    </w:pPr>
    <w:rPr>
      <w:b/>
      <w:bCs/>
    </w:rPr>
  </w:style>
  <w:style w:type="character" w:customStyle="1" w:styleId="28">
    <w:name w:val="Основной текст 2 Знак"/>
    <w:basedOn w:val="a0"/>
    <w:link w:val="27"/>
    <w:uiPriority w:val="99"/>
    <w:semiHidden/>
    <w:rPr>
      <w:rFonts w:ascii="Arial" w:hAnsi="Arial" w:cs="Arial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Pr>
      <w:rFonts w:ascii="Arial" w:hAnsi="Arial" w:cs="Arial"/>
    </w:rPr>
  </w:style>
  <w:style w:type="paragraph" w:styleId="33">
    <w:name w:val="Body Text Indent 3"/>
    <w:basedOn w:val="a"/>
    <w:link w:val="34"/>
    <w:uiPriority w:val="99"/>
    <w:pPr>
      <w:ind w:left="2268" w:hanging="2268"/>
    </w:pPr>
    <w:rPr>
      <w:sz w:val="20"/>
      <w:szCs w:val="20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rFonts w:ascii="Arial" w:hAnsi="Arial" w:cs="Arial"/>
      <w:sz w:val="16"/>
      <w:szCs w:val="16"/>
    </w:rPr>
  </w:style>
  <w:style w:type="paragraph" w:styleId="35">
    <w:name w:val="Body Text 3"/>
    <w:basedOn w:val="a"/>
    <w:link w:val="36"/>
    <w:uiPriority w:val="99"/>
    <w:pPr>
      <w:jc w:val="left"/>
    </w:pPr>
    <w:rPr>
      <w:b/>
      <w:bCs/>
      <w:sz w:val="20"/>
      <w:szCs w:val="20"/>
    </w:rPr>
  </w:style>
  <w:style w:type="character" w:customStyle="1" w:styleId="36">
    <w:name w:val="Основной текст 3 Знак"/>
    <w:basedOn w:val="a0"/>
    <w:link w:val="35"/>
    <w:uiPriority w:val="99"/>
    <w:semiHidden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f7">
    <w:name w:val="Balloon Text"/>
    <w:basedOn w:val="a"/>
    <w:link w:val="af8"/>
    <w:uiPriority w:val="99"/>
    <w:semiHidden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Title"/>
    <w:basedOn w:val="a"/>
    <w:next w:val="a"/>
    <w:link w:val="afa"/>
    <w:uiPriority w:val="99"/>
    <w:qFormat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afa">
    <w:name w:val="Заголовок Знак"/>
    <w:basedOn w:val="a0"/>
    <w:link w:val="af9"/>
    <w:uiPriority w:val="99"/>
    <w:rPr>
      <w:rFonts w:ascii="Cambria" w:hAnsi="Cambria" w:cs="Cambria"/>
      <w:b/>
      <w:bCs/>
      <w:sz w:val="32"/>
      <w:szCs w:val="32"/>
    </w:rPr>
  </w:style>
  <w:style w:type="character" w:styleId="afb">
    <w:name w:val="Strong"/>
    <w:basedOn w:val="a0"/>
    <w:uiPriority w:val="99"/>
    <w:qFormat/>
    <w:rPr>
      <w:rFonts w:cs="Times New Roman"/>
      <w:b/>
      <w:bCs/>
    </w:rPr>
  </w:style>
  <w:style w:type="paragraph" w:styleId="afc">
    <w:name w:val="Normal (Web)"/>
    <w:basedOn w:val="a"/>
    <w:uiPriority w:val="99"/>
    <w:pPr>
      <w:spacing w:after="100" w:afterAutospacing="1"/>
      <w:ind w:left="150"/>
      <w:jc w:val="left"/>
    </w:pPr>
    <w:rPr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/>
      <w:sz w:val="20"/>
      <w:szCs w:val="20"/>
    </w:rPr>
  </w:style>
  <w:style w:type="table" w:styleId="afd">
    <w:name w:val="Table Grid"/>
    <w:basedOn w:val="a1"/>
    <w:uiPriority w:val="99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Subtitle"/>
    <w:basedOn w:val="a"/>
    <w:next w:val="a"/>
    <w:link w:val="aff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aff">
    <w:name w:val="Подзаголовок Знак"/>
    <w:basedOn w:val="a0"/>
    <w:link w:val="afe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basedOn w:val="a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0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
</file>

<file path=customXml/item2.xml>
</file>

<file path=customXml/item3.xml>
</file>

<file path=customXml/itemProps1.xml><?xml version="1.0" encoding="utf-8"?>
<ds:datastoreItem xmlns:ds="http://schemas.openxmlformats.org/officeDocument/2006/customXml" ds:itemID="{C71D3185-04C4-468A-BC49-2E95BBC13F13}"/>
</file>

<file path=customXml/itemProps2.xml><?xml version="1.0" encoding="utf-8"?>
<ds:datastoreItem xmlns:ds="http://schemas.openxmlformats.org/officeDocument/2006/customXml" ds:itemID="{A604BC6D-0A1B-4AE4-9835-84186C05CD89}"/>
</file>

<file path=customXml/itemProps3.xml><?xml version="1.0" encoding="utf-8"?>
<ds:datastoreItem xmlns:ds="http://schemas.openxmlformats.org/officeDocument/2006/customXml" ds:itemID="{A9B34B11-FBAA-403A-8C62-6E94F658CC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1206</Words>
  <Characters>6880</Characters>
  <Application>Microsoft Office Word</Application>
  <DocSecurity>0</DocSecurity>
  <Lines>57</Lines>
  <Paragraphs>16</Paragraphs>
  <ScaleCrop>false</ScaleCrop>
  <Company>xxx</Company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Мария Иванова</dc:creator>
  <cp:keywords/>
  <dc:description/>
  <cp:lastModifiedBy>Алексей Лаврик</cp:lastModifiedBy>
  <cp:revision>3</cp:revision>
  <cp:lastPrinted>2023-11-21T12:04:00Z</cp:lastPrinted>
  <dcterms:created xsi:type="dcterms:W3CDTF">2023-11-21T12:04:00Z</dcterms:created>
  <dcterms:modified xsi:type="dcterms:W3CDTF">2023-11-21T12:04:00Z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