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17B" w:rsidRDefault="0061217B">
      <w:pPr>
        <w:jc w:val="center"/>
        <w:rPr>
          <w:rFonts w:ascii="Times New Roman" w:hAnsi="Times New Roman" w:cs="Times New Roman"/>
          <w:b/>
          <w:bCs/>
        </w:rPr>
      </w:pPr>
    </w:p>
    <w:p w:rsidR="0061217B" w:rsidRDefault="006121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 w:rsidRPr="0061217B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61217B">
        <w:rPr>
          <w:rFonts w:ascii="Times New Roman" w:hAnsi="Times New Roman" w:cs="Times New Roman"/>
        </w:rPr>
        <w:pict>
          <v:shape id="_x0000_i0" o:spid="_x0000_i1025" type="#_x0000_t75" style="width:467.4pt;height:47.4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61217B" w:rsidRDefault="00644D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 апреля – 09 апреля 2026 г.</w:t>
      </w:r>
    </w:p>
    <w:p w:rsidR="0061217B" w:rsidRDefault="00644D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«Практические аспекты применения МСФО 9. Резервы под обесценение и ожидаемые кредитные убытки: как создавать и учитывать»</w:t>
      </w:r>
    </w:p>
    <w:p w:rsidR="0061217B" w:rsidRDefault="0061217B">
      <w:pPr>
        <w:shd w:val="clear" w:color="auto" w:fill="FFFFFF"/>
        <w:ind w:left="-11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1217B" w:rsidRDefault="00644DD3">
      <w:pPr>
        <w:shd w:val="clear" w:color="auto" w:fill="FFFFFF"/>
        <w:ind w:left="-11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="005067B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приглашает Вас принять участие в семинаре по теме: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Практические аспекты применения МСФО 9. Резервы под обесценение и ожидаемые кредитные убытки: как создавать и учитывать»</w:t>
      </w:r>
      <w:r w:rsidR="005067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>
        <w:rPr>
          <w:rFonts w:ascii="Times New Roman" w:hAnsi="Times New Roman" w:cs="Times New Roman"/>
          <w:sz w:val="24"/>
          <w:szCs w:val="24"/>
        </w:rPr>
        <w:t>Семинар состоится в Москве</w:t>
      </w:r>
      <w:r w:rsidR="005067B5">
        <w:rPr>
          <w:rFonts w:ascii="Times New Roman" w:hAnsi="Times New Roman" w:cs="Times New Roman"/>
          <w:sz w:val="24"/>
          <w:szCs w:val="24"/>
        </w:rPr>
        <w:t xml:space="preserve"> </w:t>
      </w:r>
      <w:r w:rsidR="005067B5">
        <w:rPr>
          <w:rFonts w:ascii="Times New Roman" w:hAnsi="Times New Roman" w:cs="Times New Roman"/>
          <w:b/>
          <w:sz w:val="24"/>
          <w:szCs w:val="24"/>
        </w:rPr>
        <w:t>08 </w:t>
      </w:r>
      <w:r>
        <w:rPr>
          <w:rFonts w:ascii="Times New Roman" w:hAnsi="Times New Roman" w:cs="Times New Roman"/>
          <w:b/>
          <w:sz w:val="24"/>
          <w:szCs w:val="24"/>
        </w:rPr>
        <w:t>апреля – 09 апреля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</w:rPr>
        <w:t>Обучение пройдет в вечернем формате (19.00-22.00)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f9"/>
        <w:tblW w:w="10348" w:type="dxa"/>
        <w:tblInd w:w="108" w:type="dxa"/>
        <w:tblLook w:val="01E0"/>
      </w:tblPr>
      <w:tblGrid>
        <w:gridCol w:w="10348"/>
      </w:tblGrid>
      <w:tr w:rsidR="0061217B">
        <w:trPr>
          <w:trHeight w:val="2177"/>
        </w:trPr>
        <w:tc>
          <w:tcPr>
            <w:tcW w:w="10348" w:type="dxa"/>
            <w:noWrap/>
          </w:tcPr>
          <w:p w:rsidR="0061217B" w:rsidRDefault="00644DD3">
            <w:pPr>
              <w:pStyle w:val="afa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1" w:name="_Hlk38361666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Семинар посвящен анализу изменений в бухгалтерском учете ценных бумаг, депозитов и прочих размещенных средств, связанных с переходом на МСФО 9. На семинаре рассматриваются вопросы создания оценочных резервов по ожидаемые кредитные убытки по финансовым ак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тивам – ценным бумагам, депозитам, выданным займам, остаткам на расчетных счетах, авансам выданных поставщикам товаров, работ услуг, торговой дебиторской задолженности и дебиторской задолженности по аренде в соответствии с МСФО 9.</w:t>
            </w:r>
          </w:p>
          <w:p w:rsidR="0061217B" w:rsidRDefault="00644DD3">
            <w:pPr>
              <w:pStyle w:val="afa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 уже применяете МС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ФО 9, то знания, полученные на семинаре, будут полезны Вам для разработки процедур валидации применяемых моделей</w:t>
            </w:r>
            <w:bookmarkEnd w:id="1"/>
          </w:p>
          <w:p w:rsidR="0061217B" w:rsidRDefault="00644DD3">
            <w:pPr>
              <w:pStyle w:val="afa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Семинар</w:t>
            </w:r>
            <w:r w:rsidR="005067B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рассчитан</w:t>
            </w:r>
            <w:r w:rsidR="005067B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</w:t>
            </w:r>
            <w:r w:rsidR="005067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бухгалтеров, внутренних контролеров, аудиторов,</w:t>
            </w:r>
            <w:r w:rsidR="005067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риск-менеджеров,</w:t>
            </w:r>
            <w:r w:rsidR="005067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руководителей, автоматизаторов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 других заинтересованных лиц.</w:t>
            </w:r>
          </w:p>
        </w:tc>
      </w:tr>
    </w:tbl>
    <w:p w:rsidR="0061217B" w:rsidRDefault="0061217B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217B" w:rsidRDefault="00644DD3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ВОПРОСЫ СЕМИНАРА:</w:t>
      </w:r>
    </w:p>
    <w:p w:rsidR="0061217B" w:rsidRDefault="0061217B">
      <w:pPr>
        <w:tabs>
          <w:tab w:val="left" w:pos="10206"/>
        </w:tabs>
        <w:spacing w:line="1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217B" w:rsidRDefault="00644DD3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: «Практические аспекты применения МСФО 9»</w:t>
      </w:r>
    </w:p>
    <w:p w:rsidR="0061217B" w:rsidRDefault="00644DD3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классификации и реклассификации финансовых активов и обязательств в соответствии с МСФО 9</w:t>
      </w:r>
    </w:p>
    <w:p w:rsidR="0061217B" w:rsidRDefault="00644DD3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Встроенные производные финансовые инструменты</w:t>
      </w:r>
    </w:p>
    <w:p w:rsidR="0061217B" w:rsidRDefault="00644DD3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финансовых активов с плавающей процентной ставкой</w:t>
      </w:r>
    </w:p>
    <w:p w:rsidR="0061217B" w:rsidRDefault="00644DD3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облигаций с индексируемым номиналом</w:t>
      </w:r>
    </w:p>
    <w:p w:rsidR="0061217B" w:rsidRDefault="00644DD3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оценки собственного кредитного риска при учете финансовых обязательств по справедливой стоимости через прибыль или убыток.</w:t>
      </w:r>
    </w:p>
    <w:p w:rsidR="0061217B" w:rsidRDefault="00644DD3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Учет на дат</w:t>
      </w:r>
      <w:r>
        <w:rPr>
          <w:rFonts w:ascii="Times New Roman" w:hAnsi="Times New Roman" w:cs="Times New Roman"/>
          <w:sz w:val="24"/>
          <w:szCs w:val="24"/>
          <w:lang w:eastAsia="ru-RU"/>
        </w:rPr>
        <w:t>у заключения сделки vs. Учет на дату расчетов</w:t>
      </w:r>
    </w:p>
    <w:p w:rsidR="0061217B" w:rsidRDefault="00644DD3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Возникновение производного финансового инструмента в связи с приобретением ценных бумаг</w:t>
      </w:r>
    </w:p>
    <w:p w:rsidR="0061217B" w:rsidRDefault="00644DD3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Стандартные условия сделки</w:t>
      </w:r>
    </w:p>
    <w:p w:rsidR="0061217B" w:rsidRDefault="00644DD3">
      <w:pPr>
        <w:pStyle w:val="afc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Порядок учета приобретения и выбытия ценных бумаг. Уточнение правил применения счетов 47407 и 4</w:t>
      </w:r>
      <w:r>
        <w:rPr>
          <w:rFonts w:ascii="Times New Roman" w:hAnsi="Times New Roman" w:cs="Times New Roman"/>
          <w:sz w:val="24"/>
          <w:szCs w:val="24"/>
          <w:lang w:eastAsia="ru-RU"/>
        </w:rPr>
        <w:t>7408, вступившее в силу с 01.01.2026.</w:t>
      </w:r>
    </w:p>
    <w:p w:rsidR="0061217B" w:rsidRDefault="00644DD3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  <w:r>
        <w:rPr>
          <w:rFonts w:ascii="Times New Roman" w:hAnsi="Times New Roman" w:cs="Times New Roman"/>
          <w:sz w:val="24"/>
          <w:szCs w:val="24"/>
          <w:lang w:eastAsia="ru-RU"/>
        </w:rPr>
        <w:t>Виды модификаций финансовых активов, приводящих и не приводящих к прекращению их признания. Существенная модификация финансовых активов.</w:t>
      </w:r>
    </w:p>
    <w:p w:rsidR="0061217B" w:rsidRDefault="00644DD3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Отражение в учете несущественной модификации финансовых активов </w:t>
      </w:r>
    </w:p>
    <w:p w:rsidR="0061217B" w:rsidRDefault="00644DD3">
      <w:pPr>
        <w:pStyle w:val="afc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Способы учета ра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сходов, связанных с приобретением ценных бумаг, выдачей кредитов (займов) </w:t>
      </w:r>
    </w:p>
    <w:p w:rsidR="0061217B" w:rsidRDefault="00644DD3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: «Резервы под обесценение и ожидаемые кредитные убытки: как создавать и учитывать»</w:t>
      </w:r>
    </w:p>
    <w:p w:rsidR="0061217B" w:rsidRDefault="00644DD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Модели оценки создания оценочных резервов под ожидаемые кредитные убытки и ее валидация</w:t>
      </w:r>
    </w:p>
    <w:p w:rsidR="0061217B" w:rsidRDefault="00644DD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рядок учета и создания оценочных резервов под ожидаемые кредитные убытки по финансовым активам, являющимся кредитно-обесцененными при первоначальном признании</w:t>
      </w:r>
    </w:p>
    <w:p w:rsidR="0061217B" w:rsidRDefault="00644DD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начисления процентов по кредитно-обесцененным финансовым активам</w:t>
      </w:r>
    </w:p>
    <w:p w:rsidR="0061217B" w:rsidRDefault="00644DD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отражения резерв</w:t>
      </w:r>
      <w:r>
        <w:rPr>
          <w:rFonts w:ascii="Times New Roman" w:hAnsi="Times New Roman" w:cs="Times New Roman"/>
          <w:sz w:val="24"/>
          <w:szCs w:val="24"/>
        </w:rPr>
        <w:t>а под ожидаемые кредитные убытки в отчете о потоках денежных средств.</w:t>
      </w:r>
    </w:p>
    <w:p w:rsidR="0061217B" w:rsidRDefault="00644DD3">
      <w:pPr>
        <w:pStyle w:val="afc"/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Влияние стадий кредитного кредитного обесценения на то, имело ли место прекращение признания или модификация финансового актива.</w:t>
      </w:r>
    </w:p>
    <w:p w:rsidR="0061217B" w:rsidRDefault="00644DD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учета выданной финансовой гарантии </w:t>
      </w:r>
    </w:p>
    <w:p w:rsidR="0061217B" w:rsidRDefault="00644DD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Учет финансовой гарантии </w:t>
      </w:r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</w:rPr>
        <w:t>. учет банковской гарантии</w:t>
      </w:r>
    </w:p>
    <w:p w:rsidR="0061217B" w:rsidRDefault="00644DD3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кредитной линии (обязательства по предоставлению займов)</w:t>
      </w:r>
    </w:p>
    <w:p w:rsidR="0061217B" w:rsidRDefault="006121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1217B" w:rsidRDefault="00644DD3">
      <w:pPr>
        <w:pStyle w:val="afc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61217B" w:rsidRDefault="0061217B">
      <w:pPr>
        <w:pStyle w:val="afc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17B" w:rsidRDefault="00644DD3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еминар будет проходить в помещении Института МФЦ по адресу: ул. Буженинова, д. 30, стр. 1 Проезд до станции метро «Преображенская площадь». Начало регистрации в 18:40. Время проведения: 19:00 – 22:00.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61217B" w:rsidRDefault="006121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1217B" w:rsidRDefault="00644DD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="005067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i/>
          <w:sz w:val="24"/>
          <w:szCs w:val="24"/>
        </w:rPr>
        <w:t>тоимость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участия в семинаре для одного участника составляет 18 000 (Восемнадцать тысяч)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Института/Учебного центра МФЦ.</w:t>
      </w:r>
    </w:p>
    <w:p w:rsidR="0061217B" w:rsidRPr="005067B5" w:rsidRDefault="00644DD3">
      <w:pPr>
        <w:rPr>
          <w:rFonts w:ascii="Times New Roman" w:hAnsi="Times New Roman"/>
          <w:sz w:val="24"/>
          <w:szCs w:val="24"/>
        </w:rPr>
      </w:pPr>
      <w:r w:rsidRPr="005067B5">
        <w:rPr>
          <w:rFonts w:ascii="Times New Roman" w:hAnsi="Times New Roman"/>
          <w:sz w:val="24"/>
          <w:szCs w:val="24"/>
        </w:rPr>
        <w:t xml:space="preserve">В стоимость включаются: </w:t>
      </w:r>
      <w:r w:rsidRPr="005067B5">
        <w:rPr>
          <w:rFonts w:ascii="Times New Roman" w:hAnsi="Times New Roman"/>
          <w:b/>
          <w:sz w:val="24"/>
          <w:szCs w:val="24"/>
        </w:rPr>
        <w:t>кофе-брейк (для «очных» слушателей) и методические материалы</w:t>
      </w:r>
      <w:r w:rsidRPr="005067B5">
        <w:rPr>
          <w:rFonts w:ascii="Times New Roman" w:hAnsi="Times New Roman"/>
          <w:sz w:val="24"/>
          <w:szCs w:val="24"/>
        </w:rPr>
        <w:t>.</w:t>
      </w:r>
    </w:p>
    <w:p w:rsidR="0061217B" w:rsidRDefault="0061217B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61217B" w:rsidRDefault="00644DD3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="005067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07 апреля 2026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5067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Шуваевой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tooltip="http://www.educenter.ru" w:history="1">
        <w:r>
          <w:rPr>
            <w:rStyle w:val="af1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61217B" w:rsidSect="0061217B">
      <w:footerReference w:type="default" r:id="rId13"/>
      <w:pgSz w:w="11906" w:h="16838"/>
      <w:pgMar w:top="426" w:right="992" w:bottom="567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DD3" w:rsidRDefault="00644DD3">
      <w:r>
        <w:separator/>
      </w:r>
    </w:p>
  </w:endnote>
  <w:endnote w:type="continuationSeparator" w:id="1">
    <w:p w:rsidR="00644DD3" w:rsidRDefault="00644D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17B" w:rsidRDefault="00644DD3">
    <w:pPr>
      <w:pStyle w:val="Footer"/>
      <w:pBdr>
        <w:top w:val="single" w:sz="4" w:space="1" w:color="000000"/>
      </w:pBdr>
      <w:jc w:val="both"/>
      <w:rPr>
        <w:rFonts w:ascii="Times New Roman" w:hAnsi="Times New Roman"/>
        <w:i/>
      </w:rPr>
    </w:pPr>
    <w:r>
      <w:rPr>
        <w:rFonts w:ascii="Times New Roman" w:hAnsi="Times New Roman"/>
        <w:i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</w:t>
    </w:r>
    <w:r>
      <w:rPr>
        <w:rFonts w:ascii="Times New Roman" w:hAnsi="Times New Roman"/>
        <w:i/>
      </w:rPr>
      <w:t>ии с административным, уголовным и иным законодательством Российской Федерации.</w:t>
    </w:r>
  </w:p>
  <w:p w:rsidR="0061217B" w:rsidRDefault="0061217B">
    <w:pPr>
      <w:pStyle w:val="Footer"/>
    </w:pPr>
  </w:p>
  <w:p w:rsidR="0061217B" w:rsidRDefault="0061217B">
    <w:pPr>
      <w:pStyle w:val="Footer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DD3" w:rsidRDefault="00644DD3">
      <w:r>
        <w:separator/>
      </w:r>
    </w:p>
  </w:footnote>
  <w:footnote w:type="continuationSeparator" w:id="1">
    <w:p w:rsidR="00644DD3" w:rsidRDefault="00644D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77048"/>
    <w:multiLevelType w:val="hybridMultilevel"/>
    <w:tmpl w:val="804A27A8"/>
    <w:lvl w:ilvl="0" w:tplc="A078C88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51F80DC2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3536BAE8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D0B6737E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0D270B4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CB626CA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8E48E4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C4008A0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260AD374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D9C5C9C"/>
    <w:multiLevelType w:val="hybridMultilevel"/>
    <w:tmpl w:val="3842AAFC"/>
    <w:lvl w:ilvl="0" w:tplc="124C67E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F746BB5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FECA81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590A3C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F88FE1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DCC88C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BE8C0C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4BC7EB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A002F7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4A6518F"/>
    <w:multiLevelType w:val="hybridMultilevel"/>
    <w:tmpl w:val="24ECCDCE"/>
    <w:lvl w:ilvl="0" w:tplc="CEB2012C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4E48B02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D16CEA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6A286B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AD2EC1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53A5C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6F256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F492A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59872B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226AF5"/>
    <w:multiLevelType w:val="hybridMultilevel"/>
    <w:tmpl w:val="1874A140"/>
    <w:lvl w:ilvl="0" w:tplc="A8903DA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60E621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2B82BB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01C4F5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29E9E2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61A8D5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54AD53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15AD04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B340CC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2DE6A22"/>
    <w:multiLevelType w:val="hybridMultilevel"/>
    <w:tmpl w:val="BA968BA2"/>
    <w:lvl w:ilvl="0" w:tplc="6D888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3A828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E82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EE2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E4F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9804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E48B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823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6ABE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022654"/>
    <w:multiLevelType w:val="hybridMultilevel"/>
    <w:tmpl w:val="2354A586"/>
    <w:lvl w:ilvl="0" w:tplc="96FA63D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530566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C60257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70A5D5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7C2F76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2107E5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034BDE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02EEC1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76046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708CD"/>
    <w:multiLevelType w:val="hybridMultilevel"/>
    <w:tmpl w:val="71320D88"/>
    <w:lvl w:ilvl="0" w:tplc="8CEA503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DD688DF4">
      <w:numFmt w:val="none"/>
      <w:lvlText w:val=""/>
      <w:lvlJc w:val="left"/>
      <w:pPr>
        <w:tabs>
          <w:tab w:val="num" w:pos="360"/>
        </w:tabs>
      </w:pPr>
    </w:lvl>
    <w:lvl w:ilvl="2" w:tplc="73AE70A2">
      <w:numFmt w:val="none"/>
      <w:lvlText w:val=""/>
      <w:lvlJc w:val="left"/>
      <w:pPr>
        <w:tabs>
          <w:tab w:val="num" w:pos="360"/>
        </w:tabs>
      </w:pPr>
    </w:lvl>
    <w:lvl w:ilvl="3" w:tplc="87229F7C">
      <w:numFmt w:val="none"/>
      <w:lvlText w:val=""/>
      <w:lvlJc w:val="left"/>
      <w:pPr>
        <w:tabs>
          <w:tab w:val="num" w:pos="360"/>
        </w:tabs>
      </w:pPr>
    </w:lvl>
    <w:lvl w:ilvl="4" w:tplc="E454251E">
      <w:numFmt w:val="none"/>
      <w:lvlText w:val=""/>
      <w:lvlJc w:val="left"/>
      <w:pPr>
        <w:tabs>
          <w:tab w:val="num" w:pos="360"/>
        </w:tabs>
      </w:pPr>
    </w:lvl>
    <w:lvl w:ilvl="5" w:tplc="33A4A14E">
      <w:numFmt w:val="none"/>
      <w:lvlText w:val=""/>
      <w:lvlJc w:val="left"/>
      <w:pPr>
        <w:tabs>
          <w:tab w:val="num" w:pos="360"/>
        </w:tabs>
      </w:pPr>
    </w:lvl>
    <w:lvl w:ilvl="6" w:tplc="9A008720">
      <w:numFmt w:val="none"/>
      <w:lvlText w:val=""/>
      <w:lvlJc w:val="left"/>
      <w:pPr>
        <w:tabs>
          <w:tab w:val="num" w:pos="360"/>
        </w:tabs>
      </w:pPr>
    </w:lvl>
    <w:lvl w:ilvl="7" w:tplc="76201FD8">
      <w:numFmt w:val="none"/>
      <w:lvlText w:val=""/>
      <w:lvlJc w:val="left"/>
      <w:pPr>
        <w:tabs>
          <w:tab w:val="num" w:pos="360"/>
        </w:tabs>
      </w:pPr>
    </w:lvl>
    <w:lvl w:ilvl="8" w:tplc="1276A254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66B6AC9"/>
    <w:multiLevelType w:val="hybridMultilevel"/>
    <w:tmpl w:val="C6E011E4"/>
    <w:lvl w:ilvl="0" w:tplc="BA5276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828916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0ECEA4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13464C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34E939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B220A7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FEC18D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A34C47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A76641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F1D6C01"/>
    <w:multiLevelType w:val="hybridMultilevel"/>
    <w:tmpl w:val="D8D865EC"/>
    <w:lvl w:ilvl="0" w:tplc="78EA47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7041A84">
      <w:numFmt w:val="none"/>
      <w:lvlText w:val=""/>
      <w:lvlJc w:val="left"/>
      <w:pPr>
        <w:tabs>
          <w:tab w:val="num" w:pos="360"/>
        </w:tabs>
      </w:pPr>
    </w:lvl>
    <w:lvl w:ilvl="2" w:tplc="A2FE762A">
      <w:numFmt w:val="none"/>
      <w:lvlText w:val=""/>
      <w:lvlJc w:val="left"/>
      <w:pPr>
        <w:tabs>
          <w:tab w:val="num" w:pos="360"/>
        </w:tabs>
      </w:pPr>
    </w:lvl>
    <w:lvl w:ilvl="3" w:tplc="948EAC0E">
      <w:numFmt w:val="none"/>
      <w:lvlText w:val=""/>
      <w:lvlJc w:val="left"/>
      <w:pPr>
        <w:tabs>
          <w:tab w:val="num" w:pos="360"/>
        </w:tabs>
      </w:pPr>
    </w:lvl>
    <w:lvl w:ilvl="4" w:tplc="24C89302">
      <w:numFmt w:val="none"/>
      <w:lvlText w:val=""/>
      <w:lvlJc w:val="left"/>
      <w:pPr>
        <w:tabs>
          <w:tab w:val="num" w:pos="360"/>
        </w:tabs>
      </w:pPr>
    </w:lvl>
    <w:lvl w:ilvl="5" w:tplc="3DB252E6">
      <w:numFmt w:val="none"/>
      <w:lvlText w:val=""/>
      <w:lvlJc w:val="left"/>
      <w:pPr>
        <w:tabs>
          <w:tab w:val="num" w:pos="360"/>
        </w:tabs>
      </w:pPr>
    </w:lvl>
    <w:lvl w:ilvl="6" w:tplc="D3EE0BE0">
      <w:numFmt w:val="none"/>
      <w:lvlText w:val=""/>
      <w:lvlJc w:val="left"/>
      <w:pPr>
        <w:tabs>
          <w:tab w:val="num" w:pos="360"/>
        </w:tabs>
      </w:pPr>
    </w:lvl>
    <w:lvl w:ilvl="7" w:tplc="E598A79C">
      <w:numFmt w:val="none"/>
      <w:lvlText w:val=""/>
      <w:lvlJc w:val="left"/>
      <w:pPr>
        <w:tabs>
          <w:tab w:val="num" w:pos="360"/>
        </w:tabs>
      </w:pPr>
    </w:lvl>
    <w:lvl w:ilvl="8" w:tplc="B47688B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4B2622CE"/>
    <w:multiLevelType w:val="hybridMultilevel"/>
    <w:tmpl w:val="C97C3A2A"/>
    <w:lvl w:ilvl="0" w:tplc="DAF0E53E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A42053C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1BF6EBF8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6565EDA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DDEF70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BA001FDA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17A47B0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92DEBE78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9AC04C4C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549E7708"/>
    <w:multiLevelType w:val="hybridMultilevel"/>
    <w:tmpl w:val="6B506A86"/>
    <w:lvl w:ilvl="0" w:tplc="0B00581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9DEDC40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E1CCCEC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4863968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5E66E0A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38AAD50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841E0670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593022F6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EEA5120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55C11C4F"/>
    <w:multiLevelType w:val="hybridMultilevel"/>
    <w:tmpl w:val="29A064F8"/>
    <w:lvl w:ilvl="0" w:tplc="1368E1D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8664480A">
      <w:numFmt w:val="none"/>
      <w:lvlText w:val=""/>
      <w:lvlJc w:val="left"/>
      <w:pPr>
        <w:tabs>
          <w:tab w:val="num" w:pos="360"/>
        </w:tabs>
      </w:pPr>
    </w:lvl>
    <w:lvl w:ilvl="2" w:tplc="03867D9E">
      <w:numFmt w:val="none"/>
      <w:lvlText w:val=""/>
      <w:lvlJc w:val="left"/>
      <w:pPr>
        <w:tabs>
          <w:tab w:val="num" w:pos="360"/>
        </w:tabs>
      </w:pPr>
    </w:lvl>
    <w:lvl w:ilvl="3" w:tplc="83E8E93A">
      <w:numFmt w:val="none"/>
      <w:lvlText w:val=""/>
      <w:lvlJc w:val="left"/>
      <w:pPr>
        <w:tabs>
          <w:tab w:val="num" w:pos="360"/>
        </w:tabs>
      </w:pPr>
    </w:lvl>
    <w:lvl w:ilvl="4" w:tplc="E0000A00">
      <w:numFmt w:val="none"/>
      <w:lvlText w:val=""/>
      <w:lvlJc w:val="left"/>
      <w:pPr>
        <w:tabs>
          <w:tab w:val="num" w:pos="360"/>
        </w:tabs>
      </w:pPr>
    </w:lvl>
    <w:lvl w:ilvl="5" w:tplc="DDF0038C">
      <w:numFmt w:val="none"/>
      <w:lvlText w:val=""/>
      <w:lvlJc w:val="left"/>
      <w:pPr>
        <w:tabs>
          <w:tab w:val="num" w:pos="360"/>
        </w:tabs>
      </w:pPr>
    </w:lvl>
    <w:lvl w:ilvl="6" w:tplc="50E86F54">
      <w:numFmt w:val="none"/>
      <w:lvlText w:val=""/>
      <w:lvlJc w:val="left"/>
      <w:pPr>
        <w:tabs>
          <w:tab w:val="num" w:pos="360"/>
        </w:tabs>
      </w:pPr>
    </w:lvl>
    <w:lvl w:ilvl="7" w:tplc="4BE898F6">
      <w:numFmt w:val="none"/>
      <w:lvlText w:val=""/>
      <w:lvlJc w:val="left"/>
      <w:pPr>
        <w:tabs>
          <w:tab w:val="num" w:pos="360"/>
        </w:tabs>
      </w:pPr>
    </w:lvl>
    <w:lvl w:ilvl="8" w:tplc="7EE45736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62D56B7"/>
    <w:multiLevelType w:val="hybridMultilevel"/>
    <w:tmpl w:val="F75AEBE4"/>
    <w:lvl w:ilvl="0" w:tplc="0D0CC9EE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31587568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A092AE5A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13C4F3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5E0594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52AAC382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E648ED20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6D29962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BD6EBC34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575C3CF5"/>
    <w:multiLevelType w:val="hybridMultilevel"/>
    <w:tmpl w:val="90966D9E"/>
    <w:lvl w:ilvl="0" w:tplc="C722FCB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70840362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35988BF8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C0C4E66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2AD6ABB6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6C0480A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2402B532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B69C072C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8214CEBA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600741D2"/>
    <w:multiLevelType w:val="hybridMultilevel"/>
    <w:tmpl w:val="C11A72AA"/>
    <w:lvl w:ilvl="0" w:tplc="4F468B82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A5648A80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DB665320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74264B90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5026306E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4306CD0C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F7AC3E68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89EA6A2C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A8F408AC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5">
    <w:nsid w:val="66A467AE"/>
    <w:multiLevelType w:val="hybridMultilevel"/>
    <w:tmpl w:val="AF4A2264"/>
    <w:lvl w:ilvl="0" w:tplc="CA4EA926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A760A276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24AFDC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29EBE76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450342A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ADB234A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2E65E10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EC4A2E0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C5EBEA6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7F721CD1"/>
    <w:multiLevelType w:val="hybridMultilevel"/>
    <w:tmpl w:val="66BA7508"/>
    <w:lvl w:ilvl="0" w:tplc="44DAEFB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CB5C0AA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ECE703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8F007C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7767C6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11C35F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19C843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9BE34F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A52D54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12"/>
  </w:num>
  <w:num w:numId="5">
    <w:abstractNumId w:val="15"/>
  </w:num>
  <w:num w:numId="6">
    <w:abstractNumId w:val="9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10"/>
  </w:num>
  <w:num w:numId="12">
    <w:abstractNumId w:val="13"/>
  </w:num>
  <w:num w:numId="13">
    <w:abstractNumId w:val="3"/>
  </w:num>
  <w:num w:numId="14">
    <w:abstractNumId w:val="1"/>
  </w:num>
  <w:num w:numId="15">
    <w:abstractNumId w:val="8"/>
  </w:num>
  <w:num w:numId="16">
    <w:abstractNumId w:val="7"/>
  </w:num>
  <w:num w:numId="17">
    <w:abstractNumId w:val="11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217B"/>
    <w:rsid w:val="005067B5"/>
    <w:rsid w:val="0061217B"/>
    <w:rsid w:val="00644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17B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61217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1217B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61217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61217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61217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61217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1217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1217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61217B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61217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1217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121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1217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1217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1217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121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121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1217B"/>
    <w:rPr>
      <w:i/>
    </w:rPr>
  </w:style>
  <w:style w:type="character" w:customStyle="1" w:styleId="HeaderChar">
    <w:name w:val="Header Char"/>
    <w:basedOn w:val="a0"/>
    <w:link w:val="Header"/>
    <w:uiPriority w:val="99"/>
    <w:rsid w:val="0061217B"/>
  </w:style>
  <w:style w:type="character" w:customStyle="1" w:styleId="FooterChar">
    <w:name w:val="Footer Char"/>
    <w:basedOn w:val="a0"/>
    <w:link w:val="Footer"/>
    <w:uiPriority w:val="99"/>
    <w:rsid w:val="0061217B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61217B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61217B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121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121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121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121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121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61217B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61217B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61217B"/>
    <w:rPr>
      <w:sz w:val="20"/>
    </w:rPr>
  </w:style>
  <w:style w:type="character" w:styleId="ad">
    <w:name w:val="endnote reference"/>
    <w:basedOn w:val="a0"/>
    <w:uiPriority w:val="99"/>
    <w:semiHidden/>
    <w:unhideWhenUsed/>
    <w:rsid w:val="0061217B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1217B"/>
    <w:pPr>
      <w:spacing w:after="57"/>
    </w:pPr>
  </w:style>
  <w:style w:type="paragraph" w:styleId="21">
    <w:name w:val="toc 2"/>
    <w:basedOn w:val="a"/>
    <w:next w:val="a"/>
    <w:uiPriority w:val="39"/>
    <w:unhideWhenUsed/>
    <w:rsid w:val="0061217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1217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1217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1217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1217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1217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1217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1217B"/>
    <w:pPr>
      <w:spacing w:after="57"/>
      <w:ind w:left="2268"/>
    </w:pPr>
  </w:style>
  <w:style w:type="paragraph" w:styleId="ae">
    <w:name w:val="TOC Heading"/>
    <w:uiPriority w:val="39"/>
    <w:unhideWhenUsed/>
    <w:rsid w:val="0061217B"/>
  </w:style>
  <w:style w:type="paragraph" w:styleId="af">
    <w:name w:val="table of figures"/>
    <w:basedOn w:val="a"/>
    <w:next w:val="a"/>
    <w:uiPriority w:val="99"/>
    <w:unhideWhenUsed/>
    <w:rsid w:val="0061217B"/>
  </w:style>
  <w:style w:type="paragraph" w:customStyle="1" w:styleId="Heading1">
    <w:name w:val="Heading 1"/>
    <w:basedOn w:val="a"/>
    <w:next w:val="a"/>
    <w:link w:val="10"/>
    <w:uiPriority w:val="99"/>
    <w:qFormat/>
    <w:rsid w:val="0061217B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61217B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61217B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61217B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61217B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0"/>
    <w:uiPriority w:val="99"/>
    <w:qFormat/>
    <w:rsid w:val="0061217B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61217B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0"/>
    <w:uiPriority w:val="99"/>
    <w:qFormat/>
    <w:rsid w:val="0061217B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0"/>
    <w:uiPriority w:val="99"/>
    <w:qFormat/>
    <w:rsid w:val="0061217B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0">
    <w:name w:val="Заголовок 1 Знак"/>
    <w:basedOn w:val="a0"/>
    <w:link w:val="Heading1"/>
    <w:uiPriority w:val="99"/>
    <w:rsid w:val="0061217B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61217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61217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61217B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61217B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61217B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61217B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61217B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61217B"/>
    <w:rPr>
      <w:rFonts w:ascii="Cambria" w:hAnsi="Cambria" w:cs="Cambria"/>
    </w:rPr>
  </w:style>
  <w:style w:type="paragraph" w:customStyle="1" w:styleId="Header">
    <w:name w:val="Header"/>
    <w:basedOn w:val="a"/>
    <w:link w:val="af0"/>
    <w:uiPriority w:val="99"/>
    <w:rsid w:val="0061217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Header"/>
    <w:uiPriority w:val="99"/>
    <w:semiHidden/>
    <w:rsid w:val="0061217B"/>
    <w:rPr>
      <w:rFonts w:ascii="Arial" w:hAnsi="Arial" w:cs="Arial"/>
    </w:rPr>
  </w:style>
  <w:style w:type="character" w:styleId="af1">
    <w:name w:val="Hyperlink"/>
    <w:basedOn w:val="a0"/>
    <w:uiPriority w:val="99"/>
    <w:rsid w:val="0061217B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61217B"/>
    <w:pPr>
      <w:jc w:val="left"/>
    </w:pPr>
    <w:rPr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61217B"/>
    <w:rPr>
      <w:rFonts w:ascii="Arial" w:hAnsi="Arial" w:cs="Arial"/>
    </w:rPr>
  </w:style>
  <w:style w:type="paragraph" w:styleId="af4">
    <w:name w:val="Block Text"/>
    <w:basedOn w:val="a"/>
    <w:uiPriority w:val="99"/>
    <w:rsid w:val="0061217B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61217B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1217B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61217B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61217B"/>
    <w:rPr>
      <w:rFonts w:ascii="Arial" w:hAnsi="Arial" w:cs="Arial"/>
    </w:rPr>
  </w:style>
  <w:style w:type="paragraph" w:customStyle="1" w:styleId="Footer">
    <w:name w:val="Footer"/>
    <w:basedOn w:val="a"/>
    <w:link w:val="af5"/>
    <w:uiPriority w:val="99"/>
    <w:rsid w:val="0061217B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Footer"/>
    <w:uiPriority w:val="99"/>
    <w:rsid w:val="0061217B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61217B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1217B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61217B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61217B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61217B"/>
    <w:rPr>
      <w:rFonts w:ascii="Arial" w:hAnsi="Arial" w:cs="Arial"/>
      <w:sz w:val="22"/>
      <w:szCs w:val="22"/>
      <w:lang w:val="ru-RU" w:eastAsia="ru-RU"/>
    </w:rPr>
  </w:style>
  <w:style w:type="paragraph" w:styleId="af6">
    <w:name w:val="Balloon Text"/>
    <w:basedOn w:val="a"/>
    <w:link w:val="af7"/>
    <w:uiPriority w:val="99"/>
    <w:semiHidden/>
    <w:rsid w:val="0061217B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61217B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61217B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61217B"/>
    <w:rPr>
      <w:rFonts w:cs="Times New Roman"/>
      <w:b/>
      <w:bCs/>
    </w:rPr>
  </w:style>
  <w:style w:type="table" w:styleId="af9">
    <w:name w:val="Table Grid"/>
    <w:basedOn w:val="a1"/>
    <w:uiPriority w:val="99"/>
    <w:rsid w:val="0061217B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rsid w:val="0061217B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61217B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61217B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b">
    <w:name w:val="Знак Знак Знак Знак"/>
    <w:basedOn w:val="a"/>
    <w:uiPriority w:val="99"/>
    <w:rsid w:val="0061217B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61217B"/>
    <w:pPr>
      <w:ind w:left="720"/>
      <w:jc w:val="left"/>
    </w:pPr>
    <w:rPr>
      <w:rFonts w:ascii="Calibri" w:hAnsi="Calibri" w:cs="Calibri"/>
      <w:lang w:eastAsia="en-US"/>
    </w:rPr>
  </w:style>
  <w:style w:type="paragraph" w:styleId="afd">
    <w:name w:val="Plain Text"/>
    <w:basedOn w:val="a"/>
    <w:link w:val="afe"/>
    <w:uiPriority w:val="99"/>
    <w:unhideWhenUsed/>
    <w:rsid w:val="0061217B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e">
    <w:name w:val="Текст Знак"/>
    <w:basedOn w:val="a0"/>
    <w:link w:val="afd"/>
    <w:uiPriority w:val="99"/>
    <w:rsid w:val="0061217B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61217B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a">
    <w:name w:val="footnote text"/>
    <w:basedOn w:val="a"/>
    <w:link w:val="aff"/>
    <w:uiPriority w:val="99"/>
    <w:semiHidden/>
    <w:unhideWhenUsed/>
    <w:rsid w:val="0061217B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a"/>
    <w:uiPriority w:val="99"/>
    <w:semiHidden/>
    <w:rsid w:val="0061217B"/>
    <w:rPr>
      <w:rFonts w:ascii="Calibri" w:hAnsi="Calibri" w:cs="Times New Roman"/>
      <w:sz w:val="20"/>
      <w:szCs w:val="20"/>
      <w:lang w:eastAsia="en-US"/>
    </w:rPr>
  </w:style>
  <w:style w:type="character" w:styleId="aff0">
    <w:name w:val="footnote reference"/>
    <w:basedOn w:val="a0"/>
    <w:uiPriority w:val="99"/>
    <w:semiHidden/>
    <w:unhideWhenUsed/>
    <w:rsid w:val="0061217B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61217B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0510F-F538-4738-9923-BDC9CF5028B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CEB1AE17-FD7E-45DA-8A73-B1EBAA489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3D526B-5880-44E0-8D61-77FA26996E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AF27C8-D987-49FD-B795-50BE73AE4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603</Words>
  <Characters>3442</Characters>
  <Application>Microsoft Office Word</Application>
  <DocSecurity>0</DocSecurity>
  <Lines>28</Lines>
  <Paragraphs>8</Paragraphs>
  <ScaleCrop>false</ScaleCrop>
  <Company>xxx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Анастасия</cp:lastModifiedBy>
  <cp:revision>6</cp:revision>
  <dcterms:created xsi:type="dcterms:W3CDTF">2026-03-17T09:13:00Z</dcterms:created>
  <dcterms:modified xsi:type="dcterms:W3CDTF">2026-03-18T13:12:00Z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