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:rsidTr="007528A1">
        <w:trPr>
          <w:trHeight w:val="1300"/>
        </w:trPr>
        <w:tc>
          <w:tcPr>
            <w:tcW w:w="10064" w:type="dxa"/>
          </w:tcPr>
          <w:p w:rsidR="00DD1BD7" w:rsidRDefault="00E73025" w:rsidP="00DD1BD7">
            <w:pPr>
              <w:rPr>
                <w:rFonts w:ascii="Times New Roman" w:hAnsi="Times New Roman" w:cs="Times New Roman"/>
                <w:b/>
                <w:bCs/>
              </w:rPr>
            </w:pPr>
            <w:r w:rsidRPr="00C9562F">
              <w:rPr>
                <w:noProof/>
              </w:rPr>
              <w:drawing>
                <wp:inline distT="0" distB="0" distL="0" distR="0">
                  <wp:extent cx="6256020" cy="8153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80E93" w:rsidRDefault="005324A4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28A1">
        <w:rPr>
          <w:rFonts w:ascii="Times New Roman" w:hAnsi="Times New Roman" w:cs="Times New Roman"/>
          <w:b/>
          <w:color w:val="000000"/>
          <w:sz w:val="24"/>
          <w:szCs w:val="24"/>
        </w:rPr>
        <w:t>Семинар</w:t>
      </w:r>
    </w:p>
    <w:p w:rsidR="00D76998" w:rsidRDefault="00D20E8C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18 -20 ноября</w:t>
      </w:r>
      <w:r w:rsidR="00D769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2024 года</w:t>
      </w:r>
    </w:p>
    <w:p w:rsidR="00780E93" w:rsidRPr="007528A1" w:rsidRDefault="00780E93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528A1">
        <w:rPr>
          <w:rFonts w:ascii="Times New Roman" w:hAnsi="Times New Roman" w:cs="Times New Roman"/>
          <w:b/>
          <w:sz w:val="24"/>
          <w:szCs w:val="24"/>
        </w:rPr>
        <w:t>«</w:t>
      </w:r>
      <w:r w:rsidR="007528A1" w:rsidRPr="007528A1">
        <w:rPr>
          <w:rFonts w:ascii="Times New Roman" w:hAnsi="Times New Roman" w:cs="Times New Roman"/>
          <w:b/>
          <w:sz w:val="24"/>
          <w:szCs w:val="24"/>
        </w:rPr>
        <w:t>Учет договоров ОПС и НПО в соответствии с МСФО (IFRS) 17 «Договоры страхования</w:t>
      </w:r>
      <w:r w:rsidR="00434448" w:rsidRPr="007528A1">
        <w:rPr>
          <w:rFonts w:ascii="Times New Roman" w:hAnsi="Times New Roman" w:cs="Times New Roman"/>
          <w:b/>
          <w:sz w:val="24"/>
          <w:szCs w:val="24"/>
        </w:rPr>
        <w:t>»</w:t>
      </w:r>
    </w:p>
    <w:p w:rsidR="007528A1" w:rsidRDefault="007528A1" w:rsidP="0043444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76998" w:rsidRDefault="00875D51" w:rsidP="00D7699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Pr="007528A1">
        <w:rPr>
          <w:rFonts w:ascii="Times New Roman" w:hAnsi="Times New Roman" w:cs="Times New Roman"/>
          <w:b/>
          <w:sz w:val="24"/>
          <w:szCs w:val="24"/>
        </w:rPr>
        <w:t>Учет договоров ОПС и НПО в соответствии с МСФО (IFRS) 17 «Договоры страхования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D76998">
        <w:rPr>
          <w:rFonts w:ascii="Times New Roman" w:hAnsi="Times New Roman" w:cs="Times New Roman"/>
          <w:sz w:val="24"/>
          <w:szCs w:val="24"/>
        </w:rPr>
        <w:t>Семинар</w:t>
      </w:r>
      <w:r w:rsidR="00D76998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D76998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D76998">
        <w:rPr>
          <w:rFonts w:ascii="Times New Roman" w:hAnsi="Times New Roman" w:cs="Times New Roman"/>
          <w:sz w:val="24"/>
          <w:szCs w:val="24"/>
        </w:rPr>
        <w:t xml:space="preserve"> </w:t>
      </w:r>
      <w:r w:rsidR="00D20E8C">
        <w:rPr>
          <w:rFonts w:ascii="Times New Roman" w:hAnsi="Times New Roman" w:cs="Times New Roman"/>
          <w:b/>
          <w:color w:val="000000"/>
          <w:sz w:val="24"/>
          <w:szCs w:val="24"/>
        </w:rPr>
        <w:t>18 - 20</w:t>
      </w:r>
      <w:r w:rsidR="00D769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20E8C">
        <w:rPr>
          <w:rFonts w:ascii="Times New Roman" w:hAnsi="Times New Roman" w:cs="Times New Roman"/>
          <w:b/>
          <w:color w:val="000000"/>
          <w:sz w:val="24"/>
          <w:szCs w:val="24"/>
        </w:rPr>
        <w:t>ноября</w:t>
      </w:r>
      <w:r w:rsidR="00D76998" w:rsidRPr="00355926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D76998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D76998" w:rsidRPr="003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  <w:r w:rsidR="00D76998" w:rsidRPr="00A04C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998"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 w:rsidR="00D76998">
        <w:rPr>
          <w:rFonts w:ascii="Times New Roman" w:hAnsi="Times New Roman"/>
          <w:i/>
          <w:sz w:val="24"/>
          <w:szCs w:val="24"/>
        </w:rPr>
        <w:t>дневном</w:t>
      </w:r>
      <w:r w:rsidR="00D76998"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 w:rsidR="00D76998">
        <w:rPr>
          <w:rFonts w:ascii="Times New Roman" w:hAnsi="Times New Roman"/>
          <w:i/>
          <w:sz w:val="24"/>
          <w:szCs w:val="24"/>
        </w:rPr>
        <w:t>0</w:t>
      </w:r>
      <w:r w:rsidR="00D76998" w:rsidRPr="00A04CF4">
        <w:rPr>
          <w:rFonts w:ascii="Times New Roman" w:hAnsi="Times New Roman"/>
          <w:i/>
          <w:sz w:val="24"/>
          <w:szCs w:val="24"/>
        </w:rPr>
        <w:t>.</w:t>
      </w:r>
      <w:r w:rsidR="00D76998">
        <w:rPr>
          <w:rFonts w:ascii="Times New Roman" w:hAnsi="Times New Roman"/>
          <w:i/>
          <w:sz w:val="24"/>
          <w:szCs w:val="24"/>
        </w:rPr>
        <w:t>0</w:t>
      </w:r>
      <w:r w:rsidR="00D76998" w:rsidRPr="00A04CF4">
        <w:rPr>
          <w:rFonts w:ascii="Times New Roman" w:hAnsi="Times New Roman"/>
          <w:i/>
          <w:sz w:val="24"/>
          <w:szCs w:val="24"/>
        </w:rPr>
        <w:t>0-</w:t>
      </w:r>
      <w:r w:rsidR="00D76998">
        <w:rPr>
          <w:rFonts w:ascii="Times New Roman" w:hAnsi="Times New Roman"/>
          <w:i/>
          <w:sz w:val="24"/>
          <w:szCs w:val="24"/>
        </w:rPr>
        <w:t>13</w:t>
      </w:r>
      <w:r w:rsidR="00D76998" w:rsidRPr="00A04CF4">
        <w:rPr>
          <w:rFonts w:ascii="Times New Roman" w:hAnsi="Times New Roman"/>
          <w:i/>
          <w:sz w:val="24"/>
          <w:szCs w:val="24"/>
        </w:rPr>
        <w:t>.</w:t>
      </w:r>
      <w:r w:rsidR="00D76998">
        <w:rPr>
          <w:rFonts w:ascii="Times New Roman" w:hAnsi="Times New Roman"/>
          <w:i/>
          <w:sz w:val="24"/>
          <w:szCs w:val="24"/>
        </w:rPr>
        <w:t>00</w:t>
      </w:r>
      <w:r w:rsidR="00D76998" w:rsidRPr="00A04CF4">
        <w:rPr>
          <w:rFonts w:ascii="Times New Roman" w:hAnsi="Times New Roman"/>
          <w:i/>
          <w:sz w:val="24"/>
          <w:szCs w:val="24"/>
        </w:rPr>
        <w:t>)</w:t>
      </w:r>
      <w:r w:rsidR="00D76998" w:rsidRPr="00A04CF4">
        <w:rPr>
          <w:rFonts w:ascii="Times New Roman" w:hAnsi="Times New Roman" w:cs="Times New Roman"/>
          <w:sz w:val="24"/>
          <w:szCs w:val="24"/>
        </w:rPr>
        <w:t>.</w:t>
      </w:r>
      <w:r w:rsidR="00D76998">
        <w:rPr>
          <w:rFonts w:ascii="Times New Roman" w:hAnsi="Times New Roman" w:cs="Times New Roman"/>
          <w:sz w:val="24"/>
          <w:szCs w:val="24"/>
        </w:rPr>
        <w:t xml:space="preserve"> </w:t>
      </w:r>
      <w:r w:rsidR="00D76998">
        <w:rPr>
          <w:rFonts w:ascii="Times New Roman" w:hAnsi="Times New Roman" w:cs="Times New Roman"/>
          <w:i/>
          <w:sz w:val="24"/>
          <w:szCs w:val="24"/>
        </w:rPr>
        <w:t>Возможно он</w:t>
      </w:r>
      <w:r w:rsidR="00D76998" w:rsidRPr="00067D57">
        <w:rPr>
          <w:rFonts w:ascii="Times New Roman" w:hAnsi="Times New Roman" w:cs="Times New Roman"/>
          <w:i/>
          <w:sz w:val="24"/>
          <w:szCs w:val="24"/>
        </w:rPr>
        <w:t>лайн участие</w:t>
      </w:r>
      <w:r w:rsidR="00D76998">
        <w:rPr>
          <w:rFonts w:ascii="Times New Roman" w:hAnsi="Times New Roman" w:cs="Times New Roman"/>
          <w:sz w:val="24"/>
          <w:szCs w:val="24"/>
        </w:rPr>
        <w:t>.</w:t>
      </w:r>
    </w:p>
    <w:p w:rsidR="00E0540D" w:rsidRDefault="00E0540D" w:rsidP="0043444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A02F4" w:rsidTr="008E0264">
        <w:tc>
          <w:tcPr>
            <w:tcW w:w="10348" w:type="dxa"/>
          </w:tcPr>
          <w:p w:rsidR="00B11B07" w:rsidRPr="008D7816" w:rsidRDefault="00B11B07" w:rsidP="00B11B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1 января 2023 года вступил в силу новый стандарт МСФО (IFRS) 17 «Договоры страхования». Для страховых компаний и негосударственных пенсионных фондов требования стандарта к отчетности МСФО и ОСБУ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обязательном порядке </w:t>
            </w:r>
            <w:r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будут применимы с 1 января 2025 года. Новый стандарт существенным образом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меняет</w:t>
            </w:r>
            <w:r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учет договоров страховани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и инвестиционных договоров с условиями дискреционного </w:t>
            </w:r>
            <w:r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участия и потому окажет значительное воздействие на деятельность страховых организаций и негосударственных пенсионных фондов.</w:t>
            </w:r>
          </w:p>
          <w:p w:rsidR="00B11B07" w:rsidRDefault="00B11B07" w:rsidP="00B11B0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5630">
              <w:rPr>
                <w:rFonts w:ascii="Times New Roman" w:hAnsi="Times New Roman"/>
                <w:b/>
                <w:i/>
                <w:sz w:val="24"/>
                <w:szCs w:val="24"/>
              </w:rPr>
              <w:t>Семинар подготовлен и проводится консультантом-практиком, участвовавши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й</w:t>
            </w:r>
            <w:r w:rsidRPr="001B563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разработке «профильных» ОСБУ по бухгалтерскому учета и бухгалтерско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й (финансовой) отчетности для страховых организаций и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НПФов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Pr="00D67B8C">
              <w:rPr>
                <w:rFonts w:ascii="Times New Roman" w:hAnsi="Times New Roman"/>
                <w:b/>
                <w:i/>
                <w:sz w:val="24"/>
                <w:szCs w:val="24"/>
              </w:rPr>
              <w:t>имеющий значительный опыт составления отчетности по РСБУ и МСФО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трансформации и консолидации </w:t>
            </w:r>
            <w:r w:rsidRPr="00D67B8C">
              <w:rPr>
                <w:rFonts w:ascii="Times New Roman" w:hAnsi="Times New Roman"/>
                <w:b/>
                <w:i/>
                <w:sz w:val="24"/>
                <w:szCs w:val="24"/>
              </w:rPr>
              <w:t>отчетности в фор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мат МСФО финансовых организаций, участником консультационных проектов по переходу на МСФО 17.</w:t>
            </w:r>
          </w:p>
          <w:p w:rsidR="00192293" w:rsidRPr="00D67B8C" w:rsidRDefault="00B11B07" w:rsidP="00B11B07">
            <w:pPr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семинар приглашаем руководителей, главных бухгалтеров, бухгалтеров, актуариев страховых компаний, негосударственных пенсионных фондов и всех заинтересованных лиц.</w:t>
            </w:r>
          </w:p>
        </w:tc>
      </w:tr>
    </w:tbl>
    <w:p w:rsidR="00C3275B" w:rsidRDefault="00C3275B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</w:p>
    <w:p w:rsidR="00AE21A0" w:rsidRPr="00CA39B1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  <w:r w:rsidRPr="00CA39B1">
        <w:rPr>
          <w:rFonts w:ascii="Times New Roman" w:hAnsi="Times New Roman" w:cs="Times New Roman"/>
          <w:b/>
          <w:bCs/>
        </w:rPr>
        <w:t xml:space="preserve">ОСНОВНЫЕ ВОПРОСЫ </w:t>
      </w:r>
      <w:r w:rsidR="001F11F5" w:rsidRPr="00CA39B1">
        <w:rPr>
          <w:rFonts w:ascii="Times New Roman" w:hAnsi="Times New Roman" w:cs="Times New Roman"/>
          <w:b/>
          <w:bCs/>
        </w:rPr>
        <w:t>СЕМИНАРА</w:t>
      </w:r>
      <w:r w:rsidR="00AE21A0" w:rsidRPr="00CA39B1">
        <w:rPr>
          <w:rFonts w:ascii="Times New Roman" w:hAnsi="Times New Roman" w:cs="Times New Roman"/>
          <w:b/>
          <w:bCs/>
        </w:rPr>
        <w:t>: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Структура МСФО (IFRS) 17 "Договоры страхования", сфера применения, основные понятия, обзор основных моделей учета.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Составляющие договоров страхования.  Необходимость выделения компонентов и их учет.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Агрегирование договоров. Правила сегментации. Понятие и учет обременительных договоров. Границы договоров.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Особенности применения различных моделей в МСФО (IFRS) 17 теоретические аспекты и вопросы применения на практике.</w:t>
      </w:r>
    </w:p>
    <w:p w:rsidR="00B11B07" w:rsidRP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Общая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модель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8D7816">
        <w:rPr>
          <w:rFonts w:ascii="Times New Roman" w:hAnsi="Times New Roman" w:cs="Times New Roman"/>
          <w:color w:val="000000"/>
          <w:sz w:val="24"/>
          <w:szCs w:val="24"/>
          <w:lang w:val="en-US"/>
        </w:rPr>
        <w:t>Building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7816">
        <w:rPr>
          <w:rFonts w:ascii="Times New Roman" w:hAnsi="Times New Roman" w:cs="Times New Roman"/>
          <w:color w:val="000000"/>
          <w:sz w:val="24"/>
          <w:szCs w:val="24"/>
          <w:lang w:val="en-US"/>
        </w:rPr>
        <w:t>Block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7816">
        <w:rPr>
          <w:rFonts w:ascii="Times New Roman" w:hAnsi="Times New Roman" w:cs="Times New Roman"/>
          <w:color w:val="000000"/>
          <w:sz w:val="24"/>
          <w:szCs w:val="24"/>
          <w:lang w:val="en-US"/>
        </w:rPr>
        <w:t>Approach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Первоначальное признание.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Компоненты обязательства: Денежные потоки; рисковая поправка; маржа. Ставка дисконтирования и применимые методы.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Последующий учет: Изменение компонентов учета во времени.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Прекращение признания.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Модификации договоров.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Подход на основе распределения премий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Premium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Allocation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Approach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74605D">
        <w:rPr>
          <w:rFonts w:ascii="Times New Roman" w:hAnsi="Times New Roman" w:cs="Times New Roman"/>
          <w:color w:val="000000"/>
          <w:sz w:val="24"/>
          <w:szCs w:val="24"/>
        </w:rPr>
        <w:t>Критерии применения модели.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605D">
        <w:rPr>
          <w:rFonts w:ascii="Times New Roman" w:hAnsi="Times New Roman" w:cs="Times New Roman"/>
          <w:color w:val="000000"/>
          <w:sz w:val="24"/>
          <w:szCs w:val="24"/>
        </w:rPr>
        <w:t>Сравнение общей модели и модели на основе распределения премий.</w:t>
      </w:r>
    </w:p>
    <w:p w:rsidR="00B11B07" w:rsidRPr="0074605D" w:rsidRDefault="00B11B07" w:rsidP="00B11B07">
      <w:pPr>
        <w:pStyle w:val="af1"/>
        <w:numPr>
          <w:ilvl w:val="0"/>
          <w:numId w:val="20"/>
        </w:numPr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05D">
        <w:rPr>
          <w:rFonts w:ascii="Times New Roman" w:hAnsi="Times New Roman" w:cs="Times New Roman"/>
          <w:sz w:val="24"/>
          <w:szCs w:val="24"/>
        </w:rPr>
        <w:t>Модель переменного вознаграждения: применимость и особенности учета договоров по данной модели.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Перестрахование. Требования МСФО (IFRS) 17 и особенности учета.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Учет приобретения бизнеса или портфеля договоров страхования.</w:t>
      </w:r>
    </w:p>
    <w:p w:rsidR="00B11B07" w:rsidRPr="0074605D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Переход на МСФО (IFRS) 17 в МСФО и ОСБУ. Подходы и практические вопросы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B11B07" w:rsidRDefault="00B11B07" w:rsidP="00B11B07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Изменение Плана счетов 803-П.</w:t>
      </w:r>
    </w:p>
    <w:p w:rsidR="00B11B07" w:rsidRDefault="00B11B07" w:rsidP="00B11B07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Требования ОСБУ Банка России, регулирующих учет договоров страхования и договоров ОПС и НПО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11B07" w:rsidRDefault="00B11B07" w:rsidP="00B11B07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Формирование отчетности ОСБУ в соответствии с требованиями ОСБУ 727-П, 728-П. Формы и раскрытия</w:t>
      </w: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D76998" w:rsidRDefault="00D76998" w:rsidP="00D7699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30, стр. 1. Проезд до станции метро «Преображенская площадь». Начало регистрации в 09:30. Время проведения: 10:00 – 1</w:t>
      </w:r>
      <w:r w:rsidR="00D20E8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D20E8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D76998" w:rsidRDefault="00D76998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75D51" w:rsidRDefault="00875D51" w:rsidP="00875D51">
      <w:pPr>
        <w:ind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i/>
          <w:sz w:val="24"/>
          <w:szCs w:val="24"/>
        </w:rPr>
        <w:t>тоимость</w:t>
      </w:r>
      <w:r>
        <w:rPr>
          <w:rFonts w:ascii="Times New Roman" w:hAnsi="Times New Roman"/>
          <w:sz w:val="24"/>
          <w:szCs w:val="24"/>
        </w:rPr>
        <w:t xml:space="preserve"> участия в курсе для одного участника составляет 18 000 (восемнадцать тысяч)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Института/Учебного центра МФЦ. </w:t>
      </w:r>
      <w:r>
        <w:rPr>
          <w:rFonts w:ascii="Times New Roman" w:hAnsi="Times New Roman" w:cs="Times New Roman"/>
          <w:sz w:val="24"/>
          <w:szCs w:val="24"/>
        </w:rPr>
        <w:t xml:space="preserve">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(для очных слушателей) и методические материалы.</w:t>
      </w: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D20E8C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ноября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D769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A0AAD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history="1">
        <w:r w:rsidRPr="00875D51">
          <w:rPr>
            <w:rFonts w:ascii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www.educenter.ru</w:t>
        </w:r>
      </w:hyperlink>
    </w:p>
    <w:p w:rsidR="00875D51" w:rsidRDefault="00875D51" w:rsidP="00875D51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75D51" w:rsidRDefault="00875D51" w:rsidP="00666508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875D51" w:rsidSect="00C3275B">
      <w:footerReference w:type="default" r:id="rId13"/>
      <w:footerReference w:type="first" r:id="rId14"/>
      <w:pgSz w:w="11906" w:h="16838"/>
      <w:pgMar w:top="851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693" w:rsidRDefault="00DD4693" w:rsidP="008E0264">
      <w:r>
        <w:separator/>
      </w:r>
    </w:p>
  </w:endnote>
  <w:endnote w:type="continuationSeparator" w:id="0">
    <w:p w:rsidR="00DD4693" w:rsidRDefault="00DD469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6FA" w:rsidRPr="008E0264" w:rsidRDefault="000F06FA" w:rsidP="000F06FA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0F06FA" w:rsidRDefault="000F06FA">
    <w:pPr>
      <w:pStyle w:val="a9"/>
    </w:pP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6FA" w:rsidRPr="008E0264" w:rsidRDefault="000F06FA" w:rsidP="000F06FA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0F06FA" w:rsidRDefault="000F06F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693" w:rsidRDefault="00DD4693" w:rsidP="008E0264">
      <w:r>
        <w:separator/>
      </w:r>
    </w:p>
  </w:footnote>
  <w:footnote w:type="continuationSeparator" w:id="0">
    <w:p w:rsidR="00DD4693" w:rsidRDefault="00DD4693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A297805"/>
    <w:multiLevelType w:val="hybridMultilevel"/>
    <w:tmpl w:val="21A2B094"/>
    <w:lvl w:ilvl="0" w:tplc="EDEE59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2A3301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22E7BDC"/>
    <w:multiLevelType w:val="multilevel"/>
    <w:tmpl w:val="E892BF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2CB7C16"/>
    <w:multiLevelType w:val="hybridMultilevel"/>
    <w:tmpl w:val="BB16B860"/>
    <w:lvl w:ilvl="0" w:tplc="B7EAFE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8C22861"/>
    <w:multiLevelType w:val="hybridMultilevel"/>
    <w:tmpl w:val="9AC870CC"/>
    <w:lvl w:ilvl="0" w:tplc="78EED0F6">
      <w:start w:val="1"/>
      <w:numFmt w:val="upperRoman"/>
      <w:lvlText w:val="%1."/>
      <w:lvlJc w:val="left"/>
      <w:pPr>
        <w:ind w:left="18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1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B6252E6"/>
    <w:multiLevelType w:val="hybridMultilevel"/>
    <w:tmpl w:val="D110F7EA"/>
    <w:lvl w:ilvl="0" w:tplc="653666A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FD21716"/>
    <w:multiLevelType w:val="hybridMultilevel"/>
    <w:tmpl w:val="AF2CAD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BF61CF"/>
    <w:multiLevelType w:val="hybridMultilevel"/>
    <w:tmpl w:val="7904FB10"/>
    <w:lvl w:ilvl="0" w:tplc="2CCC0B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0046764"/>
    <w:multiLevelType w:val="hybridMultilevel"/>
    <w:tmpl w:val="BEA2C2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0045457"/>
    <w:multiLevelType w:val="hybridMultilevel"/>
    <w:tmpl w:val="5E1E34D2"/>
    <w:lvl w:ilvl="0" w:tplc="8ACC4E40">
      <w:start w:val="1"/>
      <w:numFmt w:val="decimal"/>
      <w:lvlText w:val="%1."/>
      <w:lvlJc w:val="left"/>
      <w:pPr>
        <w:ind w:left="480" w:hanging="1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078226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0AD2895"/>
    <w:multiLevelType w:val="multilevel"/>
    <w:tmpl w:val="4DF66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D11AD"/>
    <w:multiLevelType w:val="multilevel"/>
    <w:tmpl w:val="BE5C7A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8A376E0"/>
    <w:multiLevelType w:val="hybridMultilevel"/>
    <w:tmpl w:val="93DCC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8"/>
  </w:num>
  <w:num w:numId="4">
    <w:abstractNumId w:val="23"/>
  </w:num>
  <w:num w:numId="5">
    <w:abstractNumId w:val="0"/>
  </w:num>
  <w:num w:numId="6">
    <w:abstractNumId w:val="13"/>
  </w:num>
  <w:num w:numId="7">
    <w:abstractNumId w:val="9"/>
  </w:num>
  <w:num w:numId="8">
    <w:abstractNumId w:val="11"/>
  </w:num>
  <w:num w:numId="9">
    <w:abstractNumId w:val="7"/>
  </w:num>
  <w:num w:numId="10">
    <w:abstractNumId w:val="4"/>
  </w:num>
  <w:num w:numId="11">
    <w:abstractNumId w:val="16"/>
  </w:num>
  <w:num w:numId="12">
    <w:abstractNumId w:val="14"/>
  </w:num>
  <w:num w:numId="13">
    <w:abstractNumId w:val="6"/>
  </w:num>
  <w:num w:numId="14">
    <w:abstractNumId w:val="17"/>
  </w:num>
  <w:num w:numId="15">
    <w:abstractNumId w:val="1"/>
  </w:num>
  <w:num w:numId="16">
    <w:abstractNumId w:val="15"/>
  </w:num>
  <w:num w:numId="17">
    <w:abstractNumId w:val="10"/>
  </w:num>
  <w:num w:numId="18">
    <w:abstractNumId w:val="12"/>
  </w:num>
  <w:num w:numId="19">
    <w:abstractNumId w:val="21"/>
  </w:num>
  <w:num w:numId="20">
    <w:abstractNumId w:val="19"/>
  </w:num>
  <w:num w:numId="21">
    <w:abstractNumId w:val="18"/>
  </w:num>
  <w:num w:numId="22">
    <w:abstractNumId w:val="2"/>
  </w:num>
  <w:num w:numId="23">
    <w:abstractNumId w:val="20"/>
  </w:num>
  <w:num w:numId="2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531"/>
    <w:rsid w:val="00003CB0"/>
    <w:rsid w:val="00006726"/>
    <w:rsid w:val="000111C2"/>
    <w:rsid w:val="00017AE6"/>
    <w:rsid w:val="00020686"/>
    <w:rsid w:val="00023E75"/>
    <w:rsid w:val="000240ED"/>
    <w:rsid w:val="00024650"/>
    <w:rsid w:val="000246D1"/>
    <w:rsid w:val="000363D8"/>
    <w:rsid w:val="00042E20"/>
    <w:rsid w:val="00051E4D"/>
    <w:rsid w:val="00054399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B3BBF"/>
    <w:rsid w:val="000D6E5A"/>
    <w:rsid w:val="000E73E0"/>
    <w:rsid w:val="000F06FA"/>
    <w:rsid w:val="0010581E"/>
    <w:rsid w:val="001061D1"/>
    <w:rsid w:val="00116A35"/>
    <w:rsid w:val="00121738"/>
    <w:rsid w:val="0012284E"/>
    <w:rsid w:val="00127C31"/>
    <w:rsid w:val="00160948"/>
    <w:rsid w:val="0016222E"/>
    <w:rsid w:val="001760E2"/>
    <w:rsid w:val="001831F2"/>
    <w:rsid w:val="001854F5"/>
    <w:rsid w:val="00191981"/>
    <w:rsid w:val="00192293"/>
    <w:rsid w:val="00195041"/>
    <w:rsid w:val="001975B2"/>
    <w:rsid w:val="001A20EC"/>
    <w:rsid w:val="001A4ACE"/>
    <w:rsid w:val="001B1C1F"/>
    <w:rsid w:val="001B5630"/>
    <w:rsid w:val="001C47F2"/>
    <w:rsid w:val="001D1C68"/>
    <w:rsid w:val="001D48AF"/>
    <w:rsid w:val="001D6A2F"/>
    <w:rsid w:val="001F11F5"/>
    <w:rsid w:val="00204EC9"/>
    <w:rsid w:val="00205F8B"/>
    <w:rsid w:val="0021262C"/>
    <w:rsid w:val="00213107"/>
    <w:rsid w:val="00222DE3"/>
    <w:rsid w:val="002265B7"/>
    <w:rsid w:val="00226C3B"/>
    <w:rsid w:val="00236601"/>
    <w:rsid w:val="0023676D"/>
    <w:rsid w:val="00241493"/>
    <w:rsid w:val="002472F2"/>
    <w:rsid w:val="00253438"/>
    <w:rsid w:val="00256478"/>
    <w:rsid w:val="00256AEA"/>
    <w:rsid w:val="00261102"/>
    <w:rsid w:val="00265092"/>
    <w:rsid w:val="00267CEC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273B"/>
    <w:rsid w:val="002F49F6"/>
    <w:rsid w:val="002F4D00"/>
    <w:rsid w:val="00304C04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5926"/>
    <w:rsid w:val="00372BEB"/>
    <w:rsid w:val="003743EC"/>
    <w:rsid w:val="003835D9"/>
    <w:rsid w:val="00390FEC"/>
    <w:rsid w:val="0039662A"/>
    <w:rsid w:val="003A3950"/>
    <w:rsid w:val="003B10E3"/>
    <w:rsid w:val="003B4C7C"/>
    <w:rsid w:val="003B51CC"/>
    <w:rsid w:val="003B528F"/>
    <w:rsid w:val="003C053F"/>
    <w:rsid w:val="003C06BF"/>
    <w:rsid w:val="003C0B2B"/>
    <w:rsid w:val="003C29FC"/>
    <w:rsid w:val="003D61CA"/>
    <w:rsid w:val="003E379B"/>
    <w:rsid w:val="003F1518"/>
    <w:rsid w:val="003F2D35"/>
    <w:rsid w:val="003F5121"/>
    <w:rsid w:val="00401AFB"/>
    <w:rsid w:val="00406A47"/>
    <w:rsid w:val="0041252D"/>
    <w:rsid w:val="004202E9"/>
    <w:rsid w:val="00426411"/>
    <w:rsid w:val="0042652C"/>
    <w:rsid w:val="00426A96"/>
    <w:rsid w:val="004308F2"/>
    <w:rsid w:val="00434448"/>
    <w:rsid w:val="00437A97"/>
    <w:rsid w:val="00437AB8"/>
    <w:rsid w:val="0044087A"/>
    <w:rsid w:val="004439FC"/>
    <w:rsid w:val="00454A9C"/>
    <w:rsid w:val="00466B74"/>
    <w:rsid w:val="004773BF"/>
    <w:rsid w:val="00477AE7"/>
    <w:rsid w:val="00493BB2"/>
    <w:rsid w:val="004A3E04"/>
    <w:rsid w:val="004A477F"/>
    <w:rsid w:val="004A6DBC"/>
    <w:rsid w:val="004B48BA"/>
    <w:rsid w:val="004B7D1A"/>
    <w:rsid w:val="004C202F"/>
    <w:rsid w:val="004C65F3"/>
    <w:rsid w:val="004C7754"/>
    <w:rsid w:val="004D7935"/>
    <w:rsid w:val="004E2199"/>
    <w:rsid w:val="004E263E"/>
    <w:rsid w:val="004E5198"/>
    <w:rsid w:val="004F374F"/>
    <w:rsid w:val="004F4E42"/>
    <w:rsid w:val="004F4FF1"/>
    <w:rsid w:val="004F5562"/>
    <w:rsid w:val="004F72D8"/>
    <w:rsid w:val="00501B32"/>
    <w:rsid w:val="00503C4E"/>
    <w:rsid w:val="0051712E"/>
    <w:rsid w:val="005214D5"/>
    <w:rsid w:val="005252B5"/>
    <w:rsid w:val="005271DD"/>
    <w:rsid w:val="005300E4"/>
    <w:rsid w:val="0053175A"/>
    <w:rsid w:val="00531913"/>
    <w:rsid w:val="005324A4"/>
    <w:rsid w:val="005348A0"/>
    <w:rsid w:val="005433BA"/>
    <w:rsid w:val="00545916"/>
    <w:rsid w:val="005500A2"/>
    <w:rsid w:val="00553CA4"/>
    <w:rsid w:val="00557675"/>
    <w:rsid w:val="005757B6"/>
    <w:rsid w:val="005862A1"/>
    <w:rsid w:val="005A1416"/>
    <w:rsid w:val="005B29B1"/>
    <w:rsid w:val="005B38AF"/>
    <w:rsid w:val="005B451F"/>
    <w:rsid w:val="005B786B"/>
    <w:rsid w:val="005C06BF"/>
    <w:rsid w:val="005C19E1"/>
    <w:rsid w:val="005C3B00"/>
    <w:rsid w:val="005C6B4F"/>
    <w:rsid w:val="005C7B57"/>
    <w:rsid w:val="005D036D"/>
    <w:rsid w:val="005D1286"/>
    <w:rsid w:val="005D1350"/>
    <w:rsid w:val="005F4F71"/>
    <w:rsid w:val="0060401C"/>
    <w:rsid w:val="00613CA0"/>
    <w:rsid w:val="00625117"/>
    <w:rsid w:val="00626E2C"/>
    <w:rsid w:val="00631481"/>
    <w:rsid w:val="0063499F"/>
    <w:rsid w:val="00641CF7"/>
    <w:rsid w:val="00643C05"/>
    <w:rsid w:val="00646191"/>
    <w:rsid w:val="00650717"/>
    <w:rsid w:val="00653770"/>
    <w:rsid w:val="006539E5"/>
    <w:rsid w:val="00663E47"/>
    <w:rsid w:val="00666508"/>
    <w:rsid w:val="00676FD3"/>
    <w:rsid w:val="00677A14"/>
    <w:rsid w:val="00686AB2"/>
    <w:rsid w:val="00687193"/>
    <w:rsid w:val="00690996"/>
    <w:rsid w:val="00694D11"/>
    <w:rsid w:val="006951A2"/>
    <w:rsid w:val="006A075D"/>
    <w:rsid w:val="006C1AA7"/>
    <w:rsid w:val="006C1B00"/>
    <w:rsid w:val="006C79A6"/>
    <w:rsid w:val="006D3CF7"/>
    <w:rsid w:val="006D669C"/>
    <w:rsid w:val="006D6D1C"/>
    <w:rsid w:val="006D7FD2"/>
    <w:rsid w:val="006E305E"/>
    <w:rsid w:val="006E78CE"/>
    <w:rsid w:val="006F4BD0"/>
    <w:rsid w:val="006F6F86"/>
    <w:rsid w:val="0070165B"/>
    <w:rsid w:val="00703DA7"/>
    <w:rsid w:val="0071107B"/>
    <w:rsid w:val="0072055F"/>
    <w:rsid w:val="007217DD"/>
    <w:rsid w:val="0073776D"/>
    <w:rsid w:val="0074087E"/>
    <w:rsid w:val="00740C49"/>
    <w:rsid w:val="00741E65"/>
    <w:rsid w:val="0074403B"/>
    <w:rsid w:val="00744820"/>
    <w:rsid w:val="007528A1"/>
    <w:rsid w:val="007675AE"/>
    <w:rsid w:val="00770A6B"/>
    <w:rsid w:val="00772087"/>
    <w:rsid w:val="0077443D"/>
    <w:rsid w:val="00780E93"/>
    <w:rsid w:val="00781B7C"/>
    <w:rsid w:val="007839B0"/>
    <w:rsid w:val="0079417A"/>
    <w:rsid w:val="007A43FA"/>
    <w:rsid w:val="007B03BC"/>
    <w:rsid w:val="007B0E63"/>
    <w:rsid w:val="007C1E32"/>
    <w:rsid w:val="007C2695"/>
    <w:rsid w:val="007C2B74"/>
    <w:rsid w:val="007C3CDF"/>
    <w:rsid w:val="007C46CB"/>
    <w:rsid w:val="007C5DA2"/>
    <w:rsid w:val="007C7CBE"/>
    <w:rsid w:val="007D0412"/>
    <w:rsid w:val="007D54D1"/>
    <w:rsid w:val="007E117C"/>
    <w:rsid w:val="007E6EA5"/>
    <w:rsid w:val="007F0201"/>
    <w:rsid w:val="007F0450"/>
    <w:rsid w:val="0081230A"/>
    <w:rsid w:val="00822EFC"/>
    <w:rsid w:val="00843820"/>
    <w:rsid w:val="0084668B"/>
    <w:rsid w:val="008544D8"/>
    <w:rsid w:val="0085477F"/>
    <w:rsid w:val="00862C26"/>
    <w:rsid w:val="0086389E"/>
    <w:rsid w:val="00866349"/>
    <w:rsid w:val="0086697F"/>
    <w:rsid w:val="00866C2C"/>
    <w:rsid w:val="0086766C"/>
    <w:rsid w:val="00870ECF"/>
    <w:rsid w:val="00873D63"/>
    <w:rsid w:val="00875D51"/>
    <w:rsid w:val="00876E6C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26F97"/>
    <w:rsid w:val="00933458"/>
    <w:rsid w:val="00942C96"/>
    <w:rsid w:val="009430DB"/>
    <w:rsid w:val="00961A93"/>
    <w:rsid w:val="00973CB3"/>
    <w:rsid w:val="00982D87"/>
    <w:rsid w:val="009931DC"/>
    <w:rsid w:val="00995413"/>
    <w:rsid w:val="00995F41"/>
    <w:rsid w:val="0099701E"/>
    <w:rsid w:val="009A6416"/>
    <w:rsid w:val="009A7D05"/>
    <w:rsid w:val="009B037C"/>
    <w:rsid w:val="009C1A82"/>
    <w:rsid w:val="009C6C0F"/>
    <w:rsid w:val="009D5F6A"/>
    <w:rsid w:val="009D7F2D"/>
    <w:rsid w:val="009E024A"/>
    <w:rsid w:val="009E0B95"/>
    <w:rsid w:val="009E40AD"/>
    <w:rsid w:val="009F4F94"/>
    <w:rsid w:val="00A0250B"/>
    <w:rsid w:val="00A04CF4"/>
    <w:rsid w:val="00A13A04"/>
    <w:rsid w:val="00A27983"/>
    <w:rsid w:val="00A30115"/>
    <w:rsid w:val="00A32516"/>
    <w:rsid w:val="00A54B15"/>
    <w:rsid w:val="00A61CE0"/>
    <w:rsid w:val="00A61E06"/>
    <w:rsid w:val="00A65120"/>
    <w:rsid w:val="00A65152"/>
    <w:rsid w:val="00A658D9"/>
    <w:rsid w:val="00A71BBA"/>
    <w:rsid w:val="00A71D31"/>
    <w:rsid w:val="00A822D9"/>
    <w:rsid w:val="00A82CAC"/>
    <w:rsid w:val="00A952F6"/>
    <w:rsid w:val="00AA02F4"/>
    <w:rsid w:val="00AC6637"/>
    <w:rsid w:val="00AD685D"/>
    <w:rsid w:val="00AD722D"/>
    <w:rsid w:val="00AD77DD"/>
    <w:rsid w:val="00AE21A0"/>
    <w:rsid w:val="00AF227D"/>
    <w:rsid w:val="00AF3714"/>
    <w:rsid w:val="00AF4440"/>
    <w:rsid w:val="00B01317"/>
    <w:rsid w:val="00B03C99"/>
    <w:rsid w:val="00B04607"/>
    <w:rsid w:val="00B062A9"/>
    <w:rsid w:val="00B10C04"/>
    <w:rsid w:val="00B10C68"/>
    <w:rsid w:val="00B11B07"/>
    <w:rsid w:val="00B16253"/>
    <w:rsid w:val="00B214D6"/>
    <w:rsid w:val="00B22A0A"/>
    <w:rsid w:val="00B27440"/>
    <w:rsid w:val="00B3010B"/>
    <w:rsid w:val="00B3211F"/>
    <w:rsid w:val="00B6018F"/>
    <w:rsid w:val="00B64203"/>
    <w:rsid w:val="00B65798"/>
    <w:rsid w:val="00B76ADB"/>
    <w:rsid w:val="00B80DD7"/>
    <w:rsid w:val="00B8223F"/>
    <w:rsid w:val="00B8350E"/>
    <w:rsid w:val="00B86DD5"/>
    <w:rsid w:val="00B901A2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BF7D47"/>
    <w:rsid w:val="00C12688"/>
    <w:rsid w:val="00C23E23"/>
    <w:rsid w:val="00C27E1D"/>
    <w:rsid w:val="00C30ECD"/>
    <w:rsid w:val="00C3275B"/>
    <w:rsid w:val="00C57AEA"/>
    <w:rsid w:val="00C6484F"/>
    <w:rsid w:val="00C70730"/>
    <w:rsid w:val="00C73117"/>
    <w:rsid w:val="00C735C8"/>
    <w:rsid w:val="00C76BCA"/>
    <w:rsid w:val="00C81660"/>
    <w:rsid w:val="00C855F4"/>
    <w:rsid w:val="00C9562F"/>
    <w:rsid w:val="00C96741"/>
    <w:rsid w:val="00CA39B1"/>
    <w:rsid w:val="00CB01CE"/>
    <w:rsid w:val="00CB1381"/>
    <w:rsid w:val="00CB393F"/>
    <w:rsid w:val="00CB3A81"/>
    <w:rsid w:val="00CC57EA"/>
    <w:rsid w:val="00CD1C52"/>
    <w:rsid w:val="00CE0F8A"/>
    <w:rsid w:val="00CE511F"/>
    <w:rsid w:val="00CF0358"/>
    <w:rsid w:val="00CF31BD"/>
    <w:rsid w:val="00CF5272"/>
    <w:rsid w:val="00D0198B"/>
    <w:rsid w:val="00D02495"/>
    <w:rsid w:val="00D20E8C"/>
    <w:rsid w:val="00D313DE"/>
    <w:rsid w:val="00D325B8"/>
    <w:rsid w:val="00D36980"/>
    <w:rsid w:val="00D36F69"/>
    <w:rsid w:val="00D47854"/>
    <w:rsid w:val="00D47B31"/>
    <w:rsid w:val="00D56DFF"/>
    <w:rsid w:val="00D6232B"/>
    <w:rsid w:val="00D67B8C"/>
    <w:rsid w:val="00D70565"/>
    <w:rsid w:val="00D76998"/>
    <w:rsid w:val="00D80F1E"/>
    <w:rsid w:val="00D814A7"/>
    <w:rsid w:val="00D852FA"/>
    <w:rsid w:val="00D94D82"/>
    <w:rsid w:val="00D974AC"/>
    <w:rsid w:val="00DC14DB"/>
    <w:rsid w:val="00DD0E8C"/>
    <w:rsid w:val="00DD1BD7"/>
    <w:rsid w:val="00DD4693"/>
    <w:rsid w:val="00DD56A0"/>
    <w:rsid w:val="00DE6A5F"/>
    <w:rsid w:val="00DF255E"/>
    <w:rsid w:val="00DF59D1"/>
    <w:rsid w:val="00DF7CD1"/>
    <w:rsid w:val="00E004A9"/>
    <w:rsid w:val="00E0540D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610B9"/>
    <w:rsid w:val="00E72355"/>
    <w:rsid w:val="00E73025"/>
    <w:rsid w:val="00E86B90"/>
    <w:rsid w:val="00E86FD4"/>
    <w:rsid w:val="00E9667C"/>
    <w:rsid w:val="00EA0AAD"/>
    <w:rsid w:val="00EA2E0F"/>
    <w:rsid w:val="00EA5F10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14476"/>
    <w:rsid w:val="00F22B8D"/>
    <w:rsid w:val="00F25397"/>
    <w:rsid w:val="00F26974"/>
    <w:rsid w:val="00F26FF9"/>
    <w:rsid w:val="00F27EAC"/>
    <w:rsid w:val="00F319E5"/>
    <w:rsid w:val="00F33231"/>
    <w:rsid w:val="00F33B57"/>
    <w:rsid w:val="00F41341"/>
    <w:rsid w:val="00F42144"/>
    <w:rsid w:val="00F42E7B"/>
    <w:rsid w:val="00F43D38"/>
    <w:rsid w:val="00F50471"/>
    <w:rsid w:val="00F54A4E"/>
    <w:rsid w:val="00F601B5"/>
    <w:rsid w:val="00F721CC"/>
    <w:rsid w:val="00F722D2"/>
    <w:rsid w:val="00F83DB1"/>
    <w:rsid w:val="00F878FA"/>
    <w:rsid w:val="00F928DC"/>
    <w:rsid w:val="00FA154B"/>
    <w:rsid w:val="00FA74E6"/>
    <w:rsid w:val="00FB0293"/>
    <w:rsid w:val="00FB4F17"/>
    <w:rsid w:val="00FC105C"/>
    <w:rsid w:val="00FC5493"/>
    <w:rsid w:val="00FD6580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95814"/>
  <w14:defaultImageDpi w14:val="0"/>
  <w15:docId w15:val="{6A03769D-4E7A-417D-952F-474C9BB4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contents">
    <w:name w:val="contents"/>
    <w:basedOn w:val="a"/>
    <w:rsid w:val="007528A1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A85AF-C2B9-44EB-92B8-87963B4758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8781B2-954D-4EA6-BAB3-F488F093C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6F49D2-2DC3-4898-A322-60FD2072EA8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4BAF111F-5D12-4C69-8E49-CB8E475FC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Аккредитация при ФКЦБ России</vt:lpstr>
      <vt:lpstr>Аккредитация при ФКЦБ России</vt:lpstr>
    </vt:vector>
  </TitlesOfParts>
  <Company>xxx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2017-01-23T13:46:00Z</cp:lastPrinted>
  <dcterms:created xsi:type="dcterms:W3CDTF">2024-10-25T14:20:00Z</dcterms:created>
  <dcterms:modified xsi:type="dcterms:W3CDTF">2024-10-25T14:20:00Z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