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4"/>
        <w:ind w:hanging="709"/>
        <w:rPr>
          <w:lang w:val="en-US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38900" cy="830580"/>
                <wp:effectExtent l="0" t="0" r="0" b="0"/>
                <wp:docPr id="1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38899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507.0pt;height:65.4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–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/>
    </w:p>
    <w:p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Практический</w:t>
      </w:r>
      <w:r>
        <w:rPr>
          <w:rFonts w:ascii="Times New Roman" w:hAnsi="Times New Roman" w:cs="Times New Roman"/>
          <w:b/>
          <w:sz w:val="24"/>
          <w:szCs w:val="24"/>
        </w:rPr>
        <w:t xml:space="preserve"> семинар </w:t>
      </w:r>
      <w:r/>
    </w:p>
    <w:p>
      <w:pPr>
        <w:ind w:left="-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«</w:t>
      </w:r>
      <w:r>
        <w:rPr>
          <w:rFonts w:ascii="Times New Roman" w:hAnsi="Times New Roman" w:cs="Times New Roman"/>
          <w:b/>
          <w:sz w:val="24"/>
          <w:szCs w:val="24"/>
        </w:rPr>
        <w:t xml:space="preserve">Актуальные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вопросы финансово-хозяйственной деятельности и контроля </w:t>
      </w:r>
      <w:r>
        <w:rPr>
          <w:rFonts w:ascii="Times New Roman" w:hAnsi="Times New Roman" w:cs="Times New Roman"/>
          <w:b/>
          <w:sz w:val="24"/>
          <w:szCs w:val="24"/>
        </w:rPr>
        <w:t xml:space="preserve">в государственных (муниципальных) учреждениях. Основные изменения и проверки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»</w:t>
      </w:r>
      <w:r/>
    </w:p>
    <w:p>
      <w:pPr>
        <w:ind w:left="-851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</w:r>
      <w:r/>
    </w:p>
    <w:p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практическом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семинар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по теме: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Актуальные в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опросы финансово-хозяйственной деятельности и контроля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государственных (муниципальных) учреждениях. Основные изменения и проверки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который состоится в </w:t>
      </w:r>
      <w:r>
        <w:rPr>
          <w:rFonts w:ascii="Times New Roman" w:hAnsi="Times New Roman" w:cs="Times New Roman"/>
          <w:sz w:val="24"/>
          <w:szCs w:val="24"/>
        </w:rPr>
        <w:t xml:space="preserve">г. Зеленоградск Калининградской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(гостиница «Самбия»)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по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/>
    </w:p>
    <w:p>
      <w:pPr>
        <w:ind w:left="-851"/>
        <w:spacing w:line="22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</w:r>
      <w:r/>
    </w:p>
    <w:tbl>
      <w:tblPr>
        <w:tblStyle w:val="713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>
        <w:trPr/>
        <w:tc>
          <w:tcPr>
            <w:tcW w:w="104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 семинара сфокусирована на актуальных вопросах практической деятельности в финансовой сфере, связанных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изменениями законодательства.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Особое внимание уделим практике проверок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</w:t>
            </w:r>
            <w:r/>
          </w:p>
          <w:p>
            <w:pPr>
              <w:ind w:firstLine="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ходе семинара:</w:t>
            </w:r>
            <w:r/>
          </w:p>
          <w:p>
            <w:pPr>
              <w:pStyle w:val="71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рассмотрим особенности проверок и аудиторских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разберем практические ситуации и ответственность;</w:t>
            </w:r>
            <w:r/>
          </w:p>
          <w:p>
            <w:pPr>
              <w:pStyle w:val="71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обсудим и проанализируем изменения, перспективы развития и основные особенности финансирования, планирования, учета и ведения финансово-хозяйственной деятельности в учреждениях 2023-24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/>
          </w:p>
          <w:p>
            <w:pPr>
              <w:pStyle w:val="71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системе оплаты труда в учреждениях и трудовом законодательстве;</w:t>
            </w:r>
            <w:r/>
          </w:p>
          <w:p>
            <w:pPr>
              <w:pStyle w:val="71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сформируем навык правильности ведения финансово-хозяйственной деятельности в учреждениях в новых экономических условиях; </w:t>
            </w:r>
            <w:r/>
          </w:p>
          <w:p>
            <w:pPr>
              <w:pStyle w:val="71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разберем особенности оказания платных услуг, условия и порядок их предоставления;</w:t>
            </w:r>
            <w:r/>
          </w:p>
          <w:p>
            <w:pPr>
              <w:numPr>
                <w:ilvl w:val="0"/>
                <w:numId w:val="22"/>
              </w:numPr>
              <w:tabs>
                <w:tab w:val="left" w:pos="0" w:leader="none"/>
                <w:tab w:val="left" w:pos="156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обсудим сложные вопросы осуществления внутреннего контроля и аудита, стандарты учета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аудиторы., работники контрольно-надзорных служб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</w:t>
            </w:r>
            <w:r/>
          </w:p>
        </w:tc>
      </w:tr>
    </w:tbl>
    <w:p>
      <w:pPr>
        <w:ind w:left="-1134"/>
        <w:jc w:val="center"/>
        <w:spacing w:before="12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 ПРОГРАММЕ СЕМИНАРА: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Бухгалтерская отчетность государственных и муниципальных учреждений в 2023 году.</w:t>
      </w:r>
      <w:r>
        <w:rPr>
          <w:rFonts w:ascii="Times New Roman" w:hAnsi="Times New Roman" w:cs="Times New Roman"/>
          <w:sz w:val="24"/>
          <w:szCs w:val="24"/>
        </w:rPr>
        <w:t xml:space="preserve"> Составление и представление отчетности в свете последних изменений в инструкциях Минфина РФ по отчетности. Формы, порядок заполнения.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Ошибки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Федеральные Стандарты бухучета и отчетности для государственных (муниципальных) учреждений. </w:t>
      </w:r>
      <w:r/>
    </w:p>
    <w:p>
      <w:pPr>
        <w:numPr>
          <w:ilvl w:val="0"/>
          <w:numId w:val="26"/>
        </w:numPr>
        <w:ind w:left="-709" w:firstLine="0"/>
        <w:tabs>
          <w:tab w:val="left" w:pos="-426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Основные изменения в учете: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Раскрытие сложных аспектов ведения учета по положениям стандартов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Перспективы развития учета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Централизация учета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работы централизованных бухгалтерий и передачи полномочий в </w:t>
      </w:r>
      <w:r>
        <w:rPr>
          <w:rFonts w:ascii="Times New Roman" w:hAnsi="Times New Roman" w:cs="Times New Roman"/>
          <w:sz w:val="24"/>
          <w:szCs w:val="24"/>
        </w:rPr>
        <w:t xml:space="preserve">К</w:t>
      </w:r>
      <w:r>
        <w:rPr>
          <w:rFonts w:ascii="Times New Roman" w:hAnsi="Times New Roman" w:cs="Times New Roman"/>
          <w:sz w:val="24"/>
          <w:szCs w:val="24"/>
        </w:rPr>
        <w:t xml:space="preserve">азначейство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НМА - все новое и сложное, что есть в практическо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азбираем практик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работу с НМА.</w:t>
      </w:r>
      <w:r/>
    </w:p>
    <w:p>
      <w:pPr>
        <w:numPr>
          <w:ilvl w:val="0"/>
          <w:numId w:val="26"/>
        </w:numPr>
        <w:ind w:left="-709" w:firstLine="0"/>
        <w:tabs>
          <w:tab w:val="left" w:pos="-426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Применение КОСГУ в бухучете 2023 году и перспективы 2024 года.</w:t>
      </w:r>
      <w:r/>
    </w:p>
    <w:p>
      <w:pPr>
        <w:numPr>
          <w:ilvl w:val="0"/>
          <w:numId w:val="26"/>
        </w:numPr>
        <w:ind w:left="-709" w:firstLine="0"/>
        <w:tabs>
          <w:tab w:val="left" w:pos="-426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Финансовое обеспечение бюджетных учреждений </w:t>
      </w:r>
      <w:r>
        <w:rPr>
          <w:rFonts w:ascii="Times New Roman" w:hAnsi="Times New Roman" w:cs="Times New Roman"/>
          <w:b/>
          <w:sz w:val="24"/>
          <w:szCs w:val="24"/>
        </w:rPr>
        <w:t xml:space="preserve">и отчетность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Разработка плановых показателей на</w:t>
      </w:r>
      <w:r>
        <w:rPr>
          <w:rFonts w:ascii="Times New Roman" w:hAnsi="Times New Roman" w:cs="Times New Roman"/>
          <w:sz w:val="24"/>
          <w:szCs w:val="24"/>
        </w:rPr>
        <w:t xml:space="preserve"> основе </w:t>
      </w:r>
      <w:r>
        <w:rPr>
          <w:rFonts w:ascii="Times New Roman" w:hAnsi="Times New Roman" w:cs="Times New Roman"/>
          <w:sz w:val="24"/>
          <w:szCs w:val="24"/>
        </w:rPr>
        <w:t xml:space="preserve">госзадания</w:t>
      </w:r>
      <w:r>
        <w:rPr>
          <w:rFonts w:ascii="Times New Roman" w:hAnsi="Times New Roman" w:cs="Times New Roman"/>
          <w:sz w:val="24"/>
          <w:szCs w:val="24"/>
        </w:rPr>
        <w:t xml:space="preserve"> на 2024 г. и </w:t>
      </w:r>
      <w:r>
        <w:rPr>
          <w:rFonts w:ascii="Times New Roman" w:hAnsi="Times New Roman" w:cs="Times New Roman"/>
          <w:sz w:val="24"/>
          <w:szCs w:val="24"/>
        </w:rPr>
        <w:t xml:space="preserve">последующие годы. Порядок использования субсидий. Субсидии на </w:t>
      </w:r>
      <w:r>
        <w:rPr>
          <w:rFonts w:ascii="Times New Roman" w:hAnsi="Times New Roman" w:cs="Times New Roman"/>
          <w:sz w:val="24"/>
          <w:szCs w:val="24"/>
        </w:rPr>
        <w:t xml:space="preserve">госзадание</w:t>
      </w:r>
      <w:r>
        <w:rPr>
          <w:rFonts w:ascii="Times New Roman" w:hAnsi="Times New Roman" w:cs="Times New Roman"/>
          <w:sz w:val="24"/>
          <w:szCs w:val="24"/>
        </w:rPr>
        <w:t xml:space="preserve">, субсидии на иные цели.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Корректировка бюджетного процесса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бюджетной ре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формой и развитием бюджетирования, ориентированного на результат.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Эффективное использование бюджетных средств. Анализ финансово-хозяйственной деятельности учреждения. Анализ отклонений фактических и плановых показателей. Внесение изменений в план ФХД на основе таблицы отклонений. Анализ исполнения бюджетной росписи.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будут выдавать и проверять субсидии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законодательства 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порядке расчета, отражения в учете и отчетности начислений по оплате труда: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Изменения, связанные с исчислением и уплатой страховых взносов, формированием отчетности.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НДФЛ в 2023 году. 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среднего заработка: учитываемые выплаты и порядок определения расчетного периода.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Новые условия предоставления льгот, гарантий и компенсаций. Учет и отражение в бухгалтерских документах надбавок и доплат. 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 нарушения в части оплаты, нормирования труда, начислений и платежей.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Налогообложение государственных (муниципальных) учреждений. Изменения в налогообложении, налоговом учете и отчетности в 2023 году: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налог, налог на прибыль, налог на имущество, налог на добавленную стоимость — определение налоговой базы, типичные ошибки.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Целевые поступления: налоговые последствия. Приносящая доход деятельность учреждений: фискальные последствия. Налогообложение платных услуг и арендных отношений. Налоговый учет. НДС в деятельности учреждений.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Внешний и внутренний государственный и муниципальный финансовый контроль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Осуществление ВГ(М)ФК в соответствии с федеральными Стандартами внутреннего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госфинконтроля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практическая реализация. Изменения в Стандартах. Распределение полномочий при осуществлении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финконтроля</w:t>
      </w:r>
      <w:r>
        <w:rPr>
          <w:rFonts w:ascii="Times New Roman" w:hAnsi="Times New Roman" w:cs="Times New Roman"/>
          <w:bCs/>
          <w:sz w:val="24"/>
          <w:szCs w:val="24"/>
        </w:rPr>
        <w:t xml:space="preserve">. Применение бюджетных мер принуждения. Актуальные вопросы проверо</w:t>
      </w:r>
      <w:r>
        <w:rPr>
          <w:rFonts w:ascii="Times New Roman" w:hAnsi="Times New Roman" w:cs="Times New Roman"/>
          <w:bCs/>
          <w:sz w:val="24"/>
          <w:szCs w:val="24"/>
        </w:rPr>
        <w:t xml:space="preserve">к и практика выявленных нарушений, ответственность за них. Взаимодействие органов государственного финансового контроля и подразделений ВФА (проведение анализов по ст. 157 БК РФ).  Лучшие программные продукты для проведения контроля и аудита в учреждениях.</w:t>
      </w:r>
      <w:r/>
    </w:p>
    <w:p>
      <w:pPr>
        <w:ind w:left="-426"/>
        <w:tabs>
          <w:tab w:val="left" w:pos="-426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Основные изменения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СМАРТ-контроль (контроллинг)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Методологическое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Нецелевое, неправомерное, неэффективное использование бюджетных средств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межведомственного 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бюджетного риска, нормативное регулирование системы управления бюджетными рисками (обзор действующих редакций федеральных стандартов)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выявление, индикаторы, оценка вероятности и степени влияния рисков с учётом причин и условий (обстоятельств) их реализации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Ранжирование, формирование реестра, мероприятия по минимизации, мониторинг реализации мероприятий.</w:t>
      </w:r>
      <w:r/>
    </w:p>
    <w:p>
      <w:pPr>
        <w:pStyle w:val="716"/>
        <w:numPr>
          <w:ilvl w:val="0"/>
          <w:numId w:val="25"/>
        </w:numPr>
        <w:ind w:left="-142" w:hanging="284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Ведомственный контроль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numPr>
          <w:ilvl w:val="0"/>
          <w:numId w:val="26"/>
        </w:numPr>
        <w:ind w:left="-426" w:hanging="283"/>
        <w:tabs>
          <w:tab w:val="left" w:pos="-426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Внутренний финансовый аудит: практические вопросы.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Как организовать ВФА.  Нужен ли учреждению штатный аудитор?  Идентификация рисков и их минимизация. Вы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полнение и документирование аудиторских процедур; представление аудиторских доказательств; реализация результатов; формирование аудиторского мнения. Практические вопросы, возникающие при подготовке аудиторского заключения. Подготовка выводов и рекомендаций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/>
    </w:p>
    <w:p>
      <w:pPr>
        <w:numPr>
          <w:ilvl w:val="0"/>
          <w:numId w:val="26"/>
        </w:numPr>
        <w:ind w:left="-284" w:hanging="425"/>
        <w:tabs>
          <w:tab w:val="left" w:pos="-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Практические </w:t>
      </w:r>
      <w:r>
        <w:rPr>
          <w:rFonts w:ascii="Times New Roman" w:hAnsi="Times New Roman" w:cs="Times New Roman"/>
          <w:b/>
          <w:sz w:val="24"/>
          <w:szCs w:val="24"/>
        </w:rPr>
        <w:t xml:space="preserve">вопросы практики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аудита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нарушения при планировании (смета, план финансово-хозяйственной деятельности)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правильности </w:t>
      </w:r>
      <w:r>
        <w:rPr>
          <w:rFonts w:ascii="Times New Roman" w:hAnsi="Times New Roman" w:cs="Times New Roman"/>
          <w:sz w:val="24"/>
          <w:szCs w:val="24"/>
        </w:rPr>
        <w:t xml:space="preserve">использования субсидий</w:t>
      </w:r>
      <w:r>
        <w:rPr>
          <w:rFonts w:ascii="Times New Roman" w:hAnsi="Times New Roman" w:cs="Times New Roman"/>
          <w:sz w:val="24"/>
          <w:szCs w:val="24"/>
        </w:rPr>
        <w:t xml:space="preserve"> и грантов в новых условиях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при</w:t>
      </w:r>
      <w:r>
        <w:rPr>
          <w:rFonts w:ascii="Times New Roman" w:hAnsi="Times New Roman" w:cs="Times New Roman"/>
          <w:sz w:val="24"/>
          <w:szCs w:val="24"/>
        </w:rPr>
        <w:t xml:space="preserve"> проведении ремонтных и </w:t>
      </w:r>
      <w:r>
        <w:rPr>
          <w:rFonts w:ascii="Times New Roman" w:hAnsi="Times New Roman" w:cs="Times New Roman"/>
          <w:sz w:val="24"/>
          <w:szCs w:val="24"/>
        </w:rPr>
        <w:t xml:space="preserve">строительных работ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Ошибки в учете и отчетности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Искажения в отчетности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Типичные ошибки в ходе проверок и сложные ситуации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numPr>
          <w:ilvl w:val="0"/>
          <w:numId w:val="26"/>
        </w:numPr>
        <w:ind w:left="-284" w:hanging="425"/>
        <w:tabs>
          <w:tab w:val="left" w:pos="-709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Основные изменения в закупочной деятельности. Законы 44-ФХ и 223-ФЗ. 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проводятся теперь проверки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Разбор практических ситуаций и выдача рекомендаций с целью минимизации рисков </w:t>
      </w:r>
      <w:r>
        <w:rPr>
          <w:rFonts w:ascii="Times New Roman" w:hAnsi="Times New Roman" w:cs="Times New Roman"/>
          <w:sz w:val="24"/>
          <w:szCs w:val="24"/>
        </w:rPr>
        <w:t xml:space="preserve">при проверках.</w:t>
      </w:r>
      <w:r/>
    </w:p>
    <w:p>
      <w:pPr>
        <w:numPr>
          <w:ilvl w:val="0"/>
          <w:numId w:val="26"/>
        </w:numPr>
        <w:ind w:left="-284" w:hanging="425"/>
        <w:tabs>
          <w:tab w:val="left" w:pos="-709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Противодействие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коррупции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безопасность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</w:t>
      </w:r>
      <w:r/>
    </w:p>
    <w:p>
      <w:pPr>
        <w:ind w:left="-698"/>
        <w:spacing w:before="120" w:after="12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/>
    </w:p>
    <w:p>
      <w:pPr>
        <w:ind w:left="-698"/>
        <w:spacing w:before="120" w:after="12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СЕМИНАРЕ ВЫСТУП</w:t>
      </w:r>
      <w:r>
        <w:rPr>
          <w:rFonts w:ascii="Times New Roman" w:hAnsi="Times New Roman" w:cs="Times New Roman"/>
          <w:b/>
          <w:bCs/>
        </w:rPr>
        <w:t xml:space="preserve">Я</w:t>
      </w:r>
      <w:r>
        <w:rPr>
          <w:rFonts w:ascii="Times New Roman" w:hAnsi="Times New Roman" w:cs="Times New Roman"/>
          <w:b/>
          <w:bCs/>
        </w:rPr>
        <w:t xml:space="preserve">Т:</w:t>
      </w:r>
      <w:r>
        <w:rPr>
          <w:rFonts w:ascii="Times New Roman" w:hAnsi="Times New Roman" w:cs="Times New Roman"/>
          <w:b/>
          <w:bCs/>
        </w:rPr>
        <w:t xml:space="preserve"> </w:t>
      </w:r>
      <w:r/>
    </w:p>
    <w:p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Гусева Наталия Михайловна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государственный советник 2 класса, канд. экон. наук. Директор Центра внутреннего контроля и обучения АНО «ИДПО МФЦ». Автор и эксперт системы Госфинансы (</w:t>
      </w:r>
      <w:r>
        <w:rPr>
          <w:rFonts w:ascii="Times New Roman" w:hAnsi="Times New Roman" w:cs="Times New Roman"/>
          <w:sz w:val="24"/>
          <w:szCs w:val="24"/>
        </w:rPr>
        <w:t xml:space="preserve">Актион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/>
    </w:p>
    <w:p>
      <w:pPr>
        <w:ind w:left="-709"/>
        <w:tabs>
          <w:tab w:val="left" w:pos="5735" w:leader="none"/>
        </w:tabs>
        <w:rPr>
          <w:rFonts w:ascii="Times New Roman" w:hAnsi="Times New Roman" w:cs="Times New Roman" w:eastAsia="Calibri"/>
          <w:b/>
          <w:bCs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Начальник Управления, главный бухгалтер Росфиннадзора (2006 – 2013 гг.).</w:t>
      </w:r>
      <w:r/>
    </w:p>
    <w:p>
      <w:pPr>
        <w:ind w:left="-709"/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Автор более ста научных и практических публ</w:t>
      </w:r>
      <w:r>
        <w:rPr>
          <w:rFonts w:ascii="Times New Roman" w:hAnsi="Times New Roman" w:cs="Times New Roman" w:eastAsia="Calibri"/>
          <w:sz w:val="24"/>
          <w:szCs w:val="24"/>
        </w:rPr>
        <w:t xml:space="preserve">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  <w:r/>
    </w:p>
    <w:p>
      <w:pPr>
        <w:ind w:left="-709"/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Практик-консульта</w:t>
      </w:r>
      <w:r>
        <w:rPr>
          <w:rFonts w:ascii="Times New Roman" w:hAnsi="Times New Roman" w:cs="Times New Roman" w:eastAsia="Calibri"/>
          <w:sz w:val="24"/>
          <w:szCs w:val="24"/>
        </w:rPr>
        <w:t xml:space="preserve">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  <w:r/>
    </w:p>
    <w:p>
      <w:pPr>
        <w:ind w:left="-709"/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За последние 5 лет провела более 350 практических семинаров в регионах России.</w:t>
      </w:r>
      <w:r/>
    </w:p>
    <w:p>
      <w:pPr>
        <w:ind w:left="-709"/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Автор практических консультаций и эксперт системы ГОСФИНАНСЫ (группа АКТИОН).</w:t>
      </w:r>
      <w:r/>
    </w:p>
    <w:p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Белова Елена Вениаминовна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рактик-эксперт, специалист в области бухгалтерского учета, аудита и налогообложения, консультант ведущих организаций и учреждений. (РЖД, Роснефть, Музеи Кремля и много других). </w:t>
      </w:r>
      <w:r>
        <w:rPr>
          <w:rFonts w:ascii="Times New Roman" w:hAnsi="Times New Roman" w:cs="Times New Roman"/>
          <w:bCs/>
          <w:sz w:val="24"/>
          <w:szCs w:val="24"/>
        </w:rPr>
        <w:t xml:space="preserve">Лучший лектор России по вопросам НМА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член комиссии по ИС ТПП РФ,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инансовый директор компании.</w:t>
      </w:r>
      <w:r/>
    </w:p>
    <w:p>
      <w:pPr>
        <w:ind w:hanging="709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Краснов Игорь Анатольевич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, ведущий эксперт в области проверок закупочной деятельности.</w:t>
      </w:r>
      <w:r/>
    </w:p>
    <w:p>
      <w:pPr>
        <w:ind w:hanging="709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Автор практических пособий и рекомендаций по закупкам</w:t>
      </w:r>
      <w:r/>
    </w:p>
    <w:p>
      <w:pPr>
        <w:ind w:left="-709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Бондарь Вадим Николаевич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, практик- эксперт в области ревизий и проверок, и мероприятий по противодействию коррупции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и безопасности</w:t>
      </w:r>
      <w:r/>
    </w:p>
    <w:p>
      <w:pPr>
        <w:ind w:left="-698"/>
        <w:tabs>
          <w:tab w:val="left" w:pos="836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>
        <w:rPr>
          <w:rFonts w:ascii="Times New Roman" w:hAnsi="Times New Roman" w:cs="Times New Roman"/>
          <w:b/>
          <w:sz w:val="24"/>
          <w:szCs w:val="24"/>
        </w:rPr>
        <w:t xml:space="preserve">3</w:t>
      </w:r>
      <w:r>
        <w:rPr>
          <w:rFonts w:ascii="Times New Roman" w:hAnsi="Times New Roman" w:cs="Times New Roman"/>
          <w:b/>
          <w:sz w:val="24"/>
          <w:szCs w:val="24"/>
        </w:rPr>
        <w:t xml:space="preserve">7</w:t>
      </w:r>
      <w:r>
        <w:rPr>
          <w:rFonts w:ascii="Times New Roman" w:hAnsi="Times New Roman" w:cs="Times New Roman"/>
          <w:b/>
          <w:sz w:val="24"/>
          <w:szCs w:val="24"/>
        </w:rPr>
        <w:t xml:space="preserve"> 800 (Тридцать </w:t>
      </w:r>
      <w:r>
        <w:rPr>
          <w:rFonts w:ascii="Times New Roman" w:hAnsi="Times New Roman" w:cs="Times New Roman"/>
          <w:b/>
          <w:sz w:val="24"/>
          <w:szCs w:val="24"/>
        </w:rPr>
        <w:t xml:space="preserve">семь</w:t>
      </w:r>
      <w:r>
        <w:rPr>
          <w:rFonts w:ascii="Times New Roman" w:hAnsi="Times New Roman" w:cs="Times New Roman"/>
          <w:b/>
          <w:sz w:val="24"/>
          <w:szCs w:val="24"/>
        </w:rPr>
        <w:t xml:space="preserve"> тысяч восемьсот) </w:t>
      </w:r>
      <w:r>
        <w:rPr>
          <w:rFonts w:ascii="Times New Roman" w:hAnsi="Times New Roman" w:cs="Times New Roman"/>
          <w:sz w:val="24"/>
          <w:szCs w:val="24"/>
        </w:rPr>
        <w:t xml:space="preserve">рублей, без НДС.</w:t>
      </w:r>
      <w:r/>
    </w:p>
    <w:p>
      <w:pPr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стоимость входит: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Раздаточный материал в электронном виде.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Обеды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Экскурсия по историческому городу Зеленоградску. История и традиции. Зеленоградск один из самых красивых и развивающихся городов России. Старое название </w:t>
      </w:r>
      <w:r>
        <w:rPr>
          <w:rFonts w:ascii="Times New Roman" w:hAnsi="Times New Roman" w:cs="Times New Roman"/>
          <w:sz w:val="24"/>
          <w:szCs w:val="24"/>
        </w:rPr>
        <w:t xml:space="preserve">Кранц</w:t>
      </w:r>
      <w:r>
        <w:rPr>
          <w:rFonts w:ascii="Times New Roman" w:hAnsi="Times New Roman" w:cs="Times New Roman"/>
          <w:sz w:val="24"/>
          <w:szCs w:val="24"/>
        </w:rPr>
        <w:t xml:space="preserve"> (императорский курорт).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Поездка в Балтийск (самая западная точка России). Балтийск - Гордость Российского флота. Посвящается Победе в Великой отечественной войне. 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оездка в поселок Янтарный. Тема Экономические вопросы деятельности янтарной индустрии. Изучаем весь процесс добычи и обработки янтаря – интересная практическая демонстрация непосредственно на производстве (по желанию посещение магазина продукции комбината)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Обзорная экскурсия по поселку Янтарный 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Экскурсия по работе карьера по добыче янтаря (90 % мировых запасов)</w:t>
      </w:r>
      <w:r/>
    </w:p>
    <w:p>
      <w:pPr>
        <w:pStyle w:val="716"/>
        <w:numPr>
          <w:ilvl w:val="0"/>
          <w:numId w:val="25"/>
        </w:numPr>
        <w:ind w:left="-567" w:firstLine="0"/>
        <w:tabs>
          <w:tab w:val="left" w:pos="-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Поездка на Куршскую Косу. Уникальный природный заповедник. Мировое признание. Тема Экология и развитие региона. Вопросы финансирования.</w:t>
      </w:r>
      <w:r/>
    </w:p>
    <w:p>
      <w:pPr>
        <w:ind w:left="-709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>
        <w:rPr>
          <w:rFonts w:ascii="Times New Roman" w:hAnsi="Times New Roman" w:cs="Times New Roman"/>
          <w:sz w:val="24"/>
          <w:szCs w:val="24"/>
        </w:rPr>
        <w:t xml:space="preserve">выдается удостоверение о повышении квалификации установленного образца (при обучении от 16 часов), сертификат об участии (при обучении менее 16 часов). </w:t>
      </w:r>
      <w:r/>
    </w:p>
    <w:p>
      <w:pPr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стоимость не входит проезд и проживание.</w:t>
      </w:r>
      <w:r/>
    </w:p>
    <w:p>
      <w:pPr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ind w:left="-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проведения семинара отель «Самбия»: </w:t>
      </w:r>
      <w:hyperlink w:history="1">
        <w:r>
          <w:rPr>
            <w:rStyle w:val="690"/>
            <w:rFonts w:ascii="Times New Roman" w:hAnsi="Times New Roman"/>
            <w:sz w:val="24"/>
            <w:szCs w:val="24"/>
            <w:shd w:val="clear" w:color="auto" w:fill="ffffff"/>
          </w:rPr>
          <w:t xml:space="preserve">Калининградская область, г. Зеленоградск, ул. Володарского, 20</w:t>
        </w:r>
      </w:hyperlink>
      <w:r>
        <w:rPr>
          <w:rStyle w:val="690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hyperlink r:id="rId13" w:tooltip="http://www.sambiahotel.com" w:history="1">
        <w:r>
          <w:rPr>
            <w:rStyle w:val="690"/>
            <w:rFonts w:ascii="Times New Roman" w:hAnsi="Times New Roman"/>
            <w:sz w:val="24"/>
            <w:szCs w:val="24"/>
          </w:rPr>
          <w:t xml:space="preserve">www.sambiahotel.com</w:t>
        </w:r>
      </w:hyperlink>
      <w:r/>
      <w:r/>
    </w:p>
    <w:p>
      <w:pPr>
        <w:ind w:left="-709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r>
      <w:r/>
    </w:p>
    <w:p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ПРОЖИВАНИЕ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/>
    </w:p>
    <w:p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Проживание в отеле САМБИ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Я - имеются различные варианты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размещения  с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завтраками. Бесплатное посещение бассейнов. Гостиница очень востребована. Внимательный персонал, комфортабельный конференц-зал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 прекрасные условия проживания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</w:t>
      </w:r>
      <w:r/>
    </w:p>
    <w:p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БРОНИРОВАНИЕ РЕКОМЕНДУЕМ ОСУЩЕСТВЛЯТЬ ЗАБЛАГОВРЕМЕННО</w:t>
      </w:r>
      <w:r/>
    </w:p>
    <w:p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Бронирование осуществляется самостоятельно</w:t>
      </w:r>
      <w:r/>
    </w:p>
    <w:p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r>
      <w:r/>
    </w:p>
    <w:p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Также вы можете забронировать любую другую гостиницу в городе. Добраться до отеля Самбия можно пешком практически из любой точки города максимум 15 мин   или на транспорте (5-мин)</w:t>
      </w:r>
      <w:r/>
    </w:p>
    <w:p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r>
      <w:r/>
    </w:p>
    <w:p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ПРОЕЗД 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 аэропорта до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гостиницы 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мин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на такси. 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центра Калининграда на маршрутном такси 30 минут.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Светлогорска 40-50 минут в зависимости от транспорта. 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Янтарного комбината 35 минут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Балтийска 1 час (50 км)</w:t>
      </w:r>
      <w:r/>
    </w:p>
    <w:p>
      <w:pPr>
        <w:ind w:left="-709"/>
        <w:shd w:val="clear" w:color="auto" w:fill="ffffff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Куршской Косы 30 минут</w:t>
      </w:r>
      <w:r/>
    </w:p>
    <w:p>
      <w:pPr>
        <w:spacing w:after="60"/>
      </w:pPr>
      <w:r/>
      <w:r/>
    </w:p>
    <w:p>
      <w:pPr>
        <w:ind w:left="-69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семинаре просьба направлять до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11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сентября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Ивановой Марии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 тел./ф. (495) 921-2273, доб. 13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4,</w:t>
      </w:r>
      <w:r/>
    </w:p>
    <w:p>
      <w:pPr>
        <w:ind w:left="-6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+7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(967) 198-65-34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e-mail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 xml:space="preserve"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2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4" w:tooltip="http://www.educenter.ru" w:history="1">
        <w:r>
          <w:rPr>
            <w:rStyle w:val="690"/>
            <w:rFonts w:ascii="Times New Roman" w:hAnsi="Times New Roman" w:cs="Arial"/>
            <w:b/>
            <w:bCs/>
            <w:i/>
            <w:iCs/>
            <w:sz w:val="24"/>
            <w:szCs w:val="24"/>
          </w:rPr>
          <w:t xml:space="preserve">www.educenter.ru</w:t>
        </w:r>
      </w:hyperlink>
      <w:r/>
      <w:r/>
    </w:p>
    <w:p>
      <w:r/>
      <w:r/>
    </w:p>
    <w:sectPr>
      <w:footnotePr/>
      <w:endnotePr/>
      <w:type w:val="nextPage"/>
      <w:pgSz w:w="11906" w:h="16838" w:orient="portrait"/>
      <w:pgMar w:top="426" w:right="849" w:bottom="142" w:left="156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  <w:font w:name="inherit">
    <w:panose1 w:val="020B060403050404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698" w:hanging="360"/>
        <w:tabs>
          <w:tab w:val="num" w:pos="-698" w:leader="none"/>
        </w:tabs>
      </w:pPr>
      <w:rPr>
        <w:rFonts w:ascii="Times New Roman" w:hAnsi="Times New Roman" w:cs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" w:hanging="360"/>
        <w:tabs>
          <w:tab w:val="num" w:pos="22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742" w:hanging="180"/>
        <w:tabs>
          <w:tab w:val="num" w:pos="742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1462" w:hanging="360"/>
        <w:tabs>
          <w:tab w:val="num" w:pos="1462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2182" w:hanging="360"/>
        <w:tabs>
          <w:tab w:val="num" w:pos="2182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2902" w:hanging="180"/>
        <w:tabs>
          <w:tab w:val="num" w:pos="2902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3622" w:hanging="360"/>
        <w:tabs>
          <w:tab w:val="num" w:pos="3622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4342" w:hanging="360"/>
        <w:tabs>
          <w:tab w:val="num" w:pos="4342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062" w:hanging="180"/>
        <w:tabs>
          <w:tab w:val="num" w:pos="5062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  <w:b w:val="0"/>
        <w:bCs w:val="0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-774" w:hanging="360"/>
        <w:tabs>
          <w:tab w:val="num" w:pos="-774" w:leader="none"/>
        </w:tabs>
      </w:pPr>
      <w:rPr>
        <w:rFonts w:ascii="Times New Roman" w:hAnsi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-54" w:hanging="360"/>
        <w:tabs>
          <w:tab w:val="num" w:pos="-54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666" w:hanging="360"/>
        <w:tabs>
          <w:tab w:val="num" w:pos="666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1386" w:hanging="360"/>
        <w:tabs>
          <w:tab w:val="num" w:pos="1386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2106" w:hanging="360"/>
        <w:tabs>
          <w:tab w:val="num" w:pos="2106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2826" w:hanging="360"/>
        <w:tabs>
          <w:tab w:val="num" w:pos="2826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3546" w:hanging="360"/>
        <w:tabs>
          <w:tab w:val="num" w:pos="3546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4266" w:hanging="360"/>
        <w:tabs>
          <w:tab w:val="num" w:pos="4266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4986" w:hanging="360"/>
        <w:tabs>
          <w:tab w:val="num" w:pos="4986" w:leader="none"/>
        </w:tabs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360" w:hanging="360"/>
        <w:tabs>
          <w:tab w:val="num" w:pos="360" w:leader="none"/>
        </w:tabs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38" w:hanging="360"/>
        <w:tabs>
          <w:tab w:val="num" w:pos="103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58" w:hanging="360"/>
        <w:tabs>
          <w:tab w:val="num" w:pos="175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478" w:hanging="360"/>
        <w:tabs>
          <w:tab w:val="num" w:pos="247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198" w:hanging="360"/>
        <w:tabs>
          <w:tab w:val="num" w:pos="319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18" w:hanging="360"/>
        <w:tabs>
          <w:tab w:val="num" w:pos="391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38" w:hanging="360"/>
        <w:tabs>
          <w:tab w:val="num" w:pos="463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58" w:hanging="360"/>
        <w:tabs>
          <w:tab w:val="num" w:pos="535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078" w:hanging="360"/>
        <w:tabs>
          <w:tab w:val="num" w:pos="607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798" w:hanging="360"/>
        <w:tabs>
          <w:tab w:val="num" w:pos="6798" w:leader="none"/>
        </w:tabs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414" w:hanging="360"/>
        <w:tabs>
          <w:tab w:val="num" w:pos="-414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" w:hanging="360"/>
        <w:tabs>
          <w:tab w:val="num" w:pos="306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026" w:hanging="180"/>
        <w:tabs>
          <w:tab w:val="num" w:pos="1026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1746" w:hanging="360"/>
        <w:tabs>
          <w:tab w:val="num" w:pos="1746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2466" w:hanging="360"/>
        <w:tabs>
          <w:tab w:val="num" w:pos="2466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186" w:hanging="180"/>
        <w:tabs>
          <w:tab w:val="num" w:pos="3186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3906" w:hanging="360"/>
        <w:tabs>
          <w:tab w:val="num" w:pos="3906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4626" w:hanging="360"/>
        <w:tabs>
          <w:tab w:val="num" w:pos="4626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346" w:hanging="180"/>
        <w:tabs>
          <w:tab w:val="num" w:pos="5346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360" w:hanging="360"/>
        <w:tabs>
          <w:tab w:val="num" w:pos="360" w:leader="none"/>
        </w:tabs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"/>
      <w:lvlJc w:val="left"/>
      <w:pPr>
        <w:ind w:left="360" w:hanging="360"/>
        <w:tabs>
          <w:tab w:val="num" w:pos="360" w:leader="none"/>
        </w:tabs>
      </w:pPr>
      <w:rPr>
        <w:rFonts w:ascii="Wingdings" w:hAnsi="Wingdings" w:hint="default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360" w:hanging="360"/>
        <w:tabs>
          <w:tab w:val="num" w:pos="360" w:leader="none"/>
        </w:tabs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414" w:hanging="360"/>
        <w:tabs>
          <w:tab w:val="num" w:pos="-41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" w:hanging="360"/>
        <w:tabs>
          <w:tab w:val="num" w:pos="306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026" w:hanging="180"/>
        <w:tabs>
          <w:tab w:val="num" w:pos="1026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1746" w:hanging="360"/>
        <w:tabs>
          <w:tab w:val="num" w:pos="1746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2466" w:hanging="360"/>
        <w:tabs>
          <w:tab w:val="num" w:pos="2466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186" w:hanging="180"/>
        <w:tabs>
          <w:tab w:val="num" w:pos="3186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3906" w:hanging="360"/>
        <w:tabs>
          <w:tab w:val="num" w:pos="3906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4626" w:hanging="360"/>
        <w:tabs>
          <w:tab w:val="num" w:pos="4626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346" w:hanging="180"/>
        <w:tabs>
          <w:tab w:val="num" w:pos="5346" w:leader="none"/>
        </w:tabs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10" w:hanging="360"/>
      </w:pPr>
      <w:rPr>
        <w:rFonts w:ascii="inherit" w:hAnsi="inherit" w:cs="Times New Roman" w:eastAsia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5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7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8"/>
      <w:numFmt w:val="decimal"/>
      <w:isLgl w:val="false"/>
      <w:suff w:val="tab"/>
      <w:lvlText w:val="%4"/>
      <w:lvlJc w:val="left"/>
      <w:pPr>
        <w:ind w:left="2880" w:hanging="360"/>
      </w:pPr>
      <w:rPr>
        <w:rFonts w:hint="default"/>
        <w:b/>
        <w:color w:val="auto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414" w:hanging="360"/>
        <w:tabs>
          <w:tab w:val="num" w:pos="-41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" w:hanging="360"/>
        <w:tabs>
          <w:tab w:val="num" w:pos="306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026" w:hanging="180"/>
        <w:tabs>
          <w:tab w:val="num" w:pos="1026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1746" w:hanging="360"/>
        <w:tabs>
          <w:tab w:val="num" w:pos="1746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2466" w:hanging="360"/>
        <w:tabs>
          <w:tab w:val="num" w:pos="2466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186" w:hanging="180"/>
        <w:tabs>
          <w:tab w:val="num" w:pos="3186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3906" w:hanging="360"/>
        <w:tabs>
          <w:tab w:val="num" w:pos="3906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4626" w:hanging="360"/>
        <w:tabs>
          <w:tab w:val="num" w:pos="4626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346" w:hanging="180"/>
        <w:tabs>
          <w:tab w:val="num" w:pos="5346" w:leader="none"/>
        </w:tabs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774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-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3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1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28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5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2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4986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32"/>
  </w:num>
  <w:num w:numId="5">
    <w:abstractNumId w:val="19"/>
  </w:num>
  <w:num w:numId="6">
    <w:abstractNumId w:val="5"/>
  </w:num>
  <w:num w:numId="7">
    <w:abstractNumId w:val="15"/>
  </w:num>
  <w:num w:numId="8">
    <w:abstractNumId w:val="2"/>
  </w:num>
  <w:num w:numId="9">
    <w:abstractNumId w:val="17"/>
  </w:num>
  <w:num w:numId="10">
    <w:abstractNumId w:val="16"/>
  </w:num>
  <w:num w:numId="11">
    <w:abstractNumId w:val="24"/>
  </w:num>
  <w:num w:numId="12">
    <w:abstractNumId w:val="12"/>
  </w:num>
  <w:num w:numId="13">
    <w:abstractNumId w:val="25"/>
  </w:num>
  <w:num w:numId="14">
    <w:abstractNumId w:val="20"/>
  </w:num>
  <w:num w:numId="15">
    <w:abstractNumId w:val="7"/>
  </w:num>
  <w:num w:numId="16">
    <w:abstractNumId w:val="29"/>
  </w:num>
  <w:num w:numId="17">
    <w:abstractNumId w:val="4"/>
  </w:num>
  <w:num w:numId="18">
    <w:abstractNumId w:val="31"/>
  </w:num>
  <w:num w:numId="19">
    <w:abstractNumId w:val="9"/>
  </w:num>
  <w:num w:numId="20">
    <w:abstractNumId w:val="0"/>
  </w:num>
  <w:num w:numId="21">
    <w:abstractNumId w:val="18"/>
  </w:num>
  <w:num w:numId="22">
    <w:abstractNumId w:val="22"/>
  </w:num>
  <w:num w:numId="23">
    <w:abstractNumId w:val="21"/>
  </w:num>
  <w:num w:numId="24">
    <w:abstractNumId w:val="14"/>
  </w:num>
  <w:num w:numId="25">
    <w:abstractNumId w:val="6"/>
  </w:num>
  <w:num w:numId="26">
    <w:abstractNumId w:val="30"/>
  </w:num>
  <w:num w:numId="27">
    <w:abstractNumId w:val="27"/>
  </w:num>
  <w:num w:numId="28">
    <w:abstractNumId w:val="28"/>
    <w:lvlOverride w:ilvl="0">
      <w:lvl w:ilvl="0">
        <w:start w:val="1"/>
        <w:numFmt w:val="upperRoman"/>
        <w:isLgl w:val="false"/>
        <w:suff w:val="tab"/>
        <w:lvlText w:val="%1."/>
        <w:lvlJc w:val="right"/>
        <w:pPr/>
      </w:lvl>
    </w:lvlOverride>
    <w:lvlOverride w:ilvl="1">
      <w:lvl w:ilvl="1">
        <w:start w:val="1"/>
        <w:numFmt w:val="bullet"/>
        <w:isLgl w:val="false"/>
        <w:suff w:val="tab"/>
        <w:lvlText w:val=""/>
        <w:lvlJc w:val="left"/>
        <w:pPr>
          <w:ind w:left="1440" w:hanging="360"/>
          <w:tabs>
            <w:tab w:val="num" w:pos="1440" w:leader="none"/>
          </w:tabs>
        </w:pPr>
        <w:rPr>
          <w:rFonts w:ascii="Wingdings" w:hAnsi="Wingdings" w:hint="default"/>
          <w:sz w:val="20"/>
        </w:rPr>
      </w:lvl>
    </w:lvlOverride>
  </w:num>
  <w:num w:numId="29">
    <w:abstractNumId w:val="28"/>
    <w:lvlOverride w:ilvl="0">
      <w:lvl w:ilvl="0">
        <w:start w:val="1"/>
        <w:numFmt w:val="upperRoman"/>
        <w:isLgl w:val="false"/>
        <w:suff w:val="tab"/>
        <w:lvlText w:val="%1."/>
        <w:lvlJc w:val="right"/>
        <w:pPr/>
      </w:lvl>
    </w:lvlOverride>
    <w:lvlOverride w:ilvl="1">
      <w:lvl w:ilvl="1">
        <w:start w:val="1"/>
        <w:numFmt w:val="bullet"/>
        <w:isLgl w:val="false"/>
        <w:suff w:val="tab"/>
        <w:lvlText w:val=""/>
        <w:lvlJc w:val="left"/>
        <w:pPr>
          <w:ind w:left="1440" w:hanging="360"/>
          <w:tabs>
            <w:tab w:val="num" w:pos="1440" w:leader="none"/>
          </w:tabs>
        </w:pPr>
        <w:rPr>
          <w:rFonts w:ascii="Wingdings" w:hAnsi="Wingdings" w:hint="default"/>
          <w:sz w:val="20"/>
        </w:rPr>
      </w:lvl>
    </w:lvlOverride>
  </w:num>
  <w:num w:numId="30">
    <w:abstractNumId w:val="28"/>
    <w:lvlOverride w:ilvl="0">
      <w:lvl w:ilvl="0">
        <w:start w:val="1"/>
        <w:numFmt w:val="upperRoman"/>
        <w:isLgl w:val="false"/>
        <w:suff w:val="tab"/>
        <w:lvlText w:val="%1."/>
        <w:lvlJc w:val="right"/>
        <w:pPr/>
      </w:lvl>
    </w:lvlOverride>
    <w:lvlOverride w:ilvl="1">
      <w:lvl w:ilvl="1">
        <w:start w:val="1"/>
        <w:numFmt w:val="bullet"/>
        <w:isLgl w:val="false"/>
        <w:suff w:val="tab"/>
        <w:lvlText w:val=""/>
        <w:lvlJc w:val="left"/>
        <w:pPr>
          <w:ind w:left="1440" w:hanging="360"/>
          <w:tabs>
            <w:tab w:val="num" w:pos="1440" w:leader="none"/>
          </w:tabs>
        </w:pPr>
        <w:rPr>
          <w:rFonts w:ascii="Wingdings" w:hAnsi="Wingdings" w:hint="default"/>
          <w:sz w:val="20"/>
        </w:rPr>
      </w:lvl>
    </w:lvlOverride>
  </w:num>
  <w:num w:numId="31">
    <w:abstractNumId w:val="26"/>
  </w:num>
  <w:num w:numId="32">
    <w:abstractNumId w:val="3"/>
  </w:num>
  <w:num w:numId="33">
    <w:abstractNumId w:val="11"/>
  </w:num>
  <w:num w:numId="34">
    <w:abstractNumId w:val="23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76"/>
    <w:link w:val="667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76"/>
    <w:link w:val="668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76"/>
    <w:link w:val="669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76"/>
    <w:link w:val="670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76"/>
    <w:link w:val="671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76"/>
    <w:link w:val="672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76"/>
    <w:link w:val="67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76"/>
    <w:link w:val="674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76"/>
    <w:link w:val="675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676"/>
    <w:link w:val="707"/>
    <w:uiPriority w:val="10"/>
    <w:rPr>
      <w:sz w:val="48"/>
      <w:szCs w:val="48"/>
    </w:rPr>
  </w:style>
  <w:style w:type="character" w:styleId="35">
    <w:name w:val="Subtitle Char"/>
    <w:basedOn w:val="676"/>
    <w:link w:val="714"/>
    <w:uiPriority w:val="11"/>
    <w:rPr>
      <w:sz w:val="24"/>
      <w:szCs w:val="24"/>
    </w:rPr>
  </w:style>
  <w:style w:type="paragraph" w:styleId="36">
    <w:name w:val="Quote"/>
    <w:basedOn w:val="666"/>
    <w:next w:val="66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66"/>
    <w:next w:val="66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76"/>
    <w:link w:val="688"/>
    <w:uiPriority w:val="99"/>
  </w:style>
  <w:style w:type="character" w:styleId="43">
    <w:name w:val="Footer Char"/>
    <w:basedOn w:val="676"/>
    <w:link w:val="698"/>
    <w:uiPriority w:val="99"/>
  </w:style>
  <w:style w:type="paragraph" w:styleId="44">
    <w:name w:val="Caption"/>
    <w:basedOn w:val="666"/>
    <w:next w:val="6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98"/>
    <w:uiPriority w:val="99"/>
  </w:style>
  <w:style w:type="table" w:styleId="47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6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76"/>
    <w:uiPriority w:val="99"/>
    <w:unhideWhenUsed/>
    <w:rPr>
      <w:vertAlign w:val="superscript"/>
    </w:rPr>
  </w:style>
  <w:style w:type="paragraph" w:styleId="176">
    <w:name w:val="endnote text"/>
    <w:basedOn w:val="66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6"/>
    <w:uiPriority w:val="99"/>
    <w:semiHidden/>
    <w:unhideWhenUsed/>
    <w:rPr>
      <w:vertAlign w:val="superscript"/>
    </w:rPr>
  </w:style>
  <w:style w:type="paragraph" w:styleId="179">
    <w:name w:val="toc 1"/>
    <w:basedOn w:val="666"/>
    <w:next w:val="66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66"/>
    <w:next w:val="66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66"/>
    <w:next w:val="66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66"/>
    <w:next w:val="66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66"/>
    <w:next w:val="66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66"/>
    <w:next w:val="66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66"/>
    <w:next w:val="66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66"/>
    <w:next w:val="66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66"/>
    <w:next w:val="66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66"/>
    <w:next w:val="666"/>
    <w:uiPriority w:val="99"/>
    <w:unhideWhenUsed/>
    <w:pPr>
      <w:spacing w:after="0" w:afterAutospacing="0"/>
    </w:pPr>
  </w:style>
  <w:style w:type="paragraph" w:styleId="666" w:default="1">
    <w:name w:val="Normal"/>
    <w:qFormat/>
    <w:pPr>
      <w:jc w:val="both"/>
      <w:spacing w:after="0" w:line="240" w:lineRule="auto"/>
    </w:pPr>
    <w:rPr>
      <w:rFonts w:ascii="Arial" w:hAnsi="Arial" w:cs="Arial"/>
    </w:rPr>
  </w:style>
  <w:style w:type="paragraph" w:styleId="667">
    <w:name w:val="Heading 1"/>
    <w:basedOn w:val="666"/>
    <w:next w:val="666"/>
    <w:link w:val="679"/>
    <w:uiPriority w:val="99"/>
    <w:qFormat/>
    <w:pPr>
      <w:ind w:left="-840" w:right="-765"/>
      <w:jc w:val="center"/>
      <w:keepNext/>
      <w:outlineLvl w:val="0"/>
    </w:pPr>
    <w:rPr>
      <w:b/>
      <w:bCs/>
      <w:i/>
      <w:iCs/>
      <w:sz w:val="24"/>
      <w:szCs w:val="24"/>
    </w:rPr>
  </w:style>
  <w:style w:type="paragraph" w:styleId="668">
    <w:name w:val="Heading 2"/>
    <w:basedOn w:val="666"/>
    <w:next w:val="666"/>
    <w:link w:val="680"/>
    <w:uiPriority w:val="99"/>
    <w:qFormat/>
    <w:pPr>
      <w:ind w:left="-840" w:right="-765"/>
      <w:jc w:val="center"/>
      <w:keepNext/>
      <w:outlineLvl w:val="1"/>
    </w:pPr>
    <w:rPr>
      <w:b/>
      <w:bCs/>
      <w:i/>
      <w:iCs/>
      <w:sz w:val="28"/>
      <w:szCs w:val="28"/>
    </w:rPr>
  </w:style>
  <w:style w:type="paragraph" w:styleId="669">
    <w:name w:val="Heading 3"/>
    <w:basedOn w:val="666"/>
    <w:next w:val="666"/>
    <w:link w:val="681"/>
    <w:uiPriority w:val="99"/>
    <w:qFormat/>
    <w:pPr>
      <w:ind w:left="2157" w:right="-1050" w:hanging="2866"/>
      <w:jc w:val="left"/>
      <w:keepNext/>
      <w:outlineLvl w:val="2"/>
    </w:pPr>
    <w:rPr>
      <w:sz w:val="24"/>
      <w:szCs w:val="24"/>
    </w:rPr>
  </w:style>
  <w:style w:type="paragraph" w:styleId="670">
    <w:name w:val="Heading 4"/>
    <w:basedOn w:val="666"/>
    <w:next w:val="666"/>
    <w:link w:val="682"/>
    <w:uiPriority w:val="99"/>
    <w:qFormat/>
    <w:pPr>
      <w:jc w:val="left"/>
      <w:keepNext/>
      <w:outlineLvl w:val="3"/>
    </w:pPr>
    <w:rPr>
      <w:sz w:val="24"/>
      <w:szCs w:val="24"/>
    </w:rPr>
  </w:style>
  <w:style w:type="paragraph" w:styleId="671">
    <w:name w:val="Heading 5"/>
    <w:basedOn w:val="666"/>
    <w:next w:val="666"/>
    <w:link w:val="683"/>
    <w:uiPriority w:val="99"/>
    <w:qFormat/>
    <w:pPr>
      <w:ind w:left="-840" w:right="-765"/>
      <w:jc w:val="center"/>
      <w:keepNext/>
      <w:outlineLvl w:val="4"/>
    </w:pPr>
    <w:rPr>
      <w:b/>
      <w:bCs/>
      <w:u w:val="single"/>
    </w:rPr>
  </w:style>
  <w:style w:type="paragraph" w:styleId="672">
    <w:name w:val="Heading 6"/>
    <w:basedOn w:val="666"/>
    <w:next w:val="666"/>
    <w:link w:val="684"/>
    <w:uiPriority w:val="99"/>
    <w:qFormat/>
    <w:pPr>
      <w:ind w:left="-851" w:right="42"/>
      <w:keepNext/>
      <w:tabs>
        <w:tab w:val="left" w:pos="8364" w:leader="none"/>
      </w:tabs>
      <w:outlineLvl w:val="5"/>
    </w:pPr>
    <w:rPr>
      <w:b/>
      <w:bCs/>
      <w:sz w:val="24"/>
      <w:szCs w:val="24"/>
    </w:rPr>
  </w:style>
  <w:style w:type="paragraph" w:styleId="673">
    <w:name w:val="Heading 7"/>
    <w:basedOn w:val="666"/>
    <w:next w:val="666"/>
    <w:link w:val="685"/>
    <w:uiPriority w:val="99"/>
    <w:qFormat/>
    <w:pPr>
      <w:ind w:left="-840" w:right="-765"/>
      <w:jc w:val="center"/>
      <w:keepNext/>
      <w:outlineLvl w:val="6"/>
    </w:pPr>
    <w:rPr>
      <w:b/>
      <w:bCs/>
      <w:sz w:val="20"/>
      <w:szCs w:val="20"/>
      <w:u w:val="single"/>
    </w:rPr>
  </w:style>
  <w:style w:type="paragraph" w:styleId="674">
    <w:name w:val="Heading 8"/>
    <w:basedOn w:val="666"/>
    <w:next w:val="666"/>
    <w:link w:val="686"/>
    <w:uiPriority w:val="99"/>
    <w:qFormat/>
    <w:pPr>
      <w:ind w:firstLine="709"/>
      <w:jc w:val="left"/>
      <w:keepNext/>
      <w:outlineLvl w:val="7"/>
    </w:pPr>
    <w:rPr>
      <w:b/>
      <w:bCs/>
    </w:rPr>
  </w:style>
  <w:style w:type="paragraph" w:styleId="675">
    <w:name w:val="Heading 9"/>
    <w:basedOn w:val="666"/>
    <w:next w:val="666"/>
    <w:link w:val="687"/>
    <w:uiPriority w:val="99"/>
    <w:qFormat/>
    <w:pPr>
      <w:jc w:val="center"/>
      <w:keepNext/>
      <w:outlineLvl w:val="8"/>
    </w:pPr>
    <w:rPr>
      <w:b/>
      <w:bCs/>
      <w:sz w:val="18"/>
      <w:szCs w:val="18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Заголовок 1 Знак"/>
    <w:basedOn w:val="676"/>
    <w:link w:val="667"/>
    <w:uiPriority w:val="99"/>
    <w:rPr>
      <w:rFonts w:ascii="Cambria" w:hAnsi="Cambria" w:cs="Cambria"/>
      <w:b/>
      <w:bCs/>
      <w:sz w:val="32"/>
      <w:szCs w:val="32"/>
    </w:rPr>
  </w:style>
  <w:style w:type="character" w:styleId="680" w:customStyle="1">
    <w:name w:val="Заголовок 2 Знак"/>
    <w:basedOn w:val="676"/>
    <w:link w:val="668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character" w:styleId="681" w:customStyle="1">
    <w:name w:val="Заголовок 3 Знак"/>
    <w:basedOn w:val="676"/>
    <w:link w:val="669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682" w:customStyle="1">
    <w:name w:val="Заголовок 4 Знак"/>
    <w:basedOn w:val="676"/>
    <w:link w:val="670"/>
    <w:uiPriority w:val="99"/>
    <w:semiHidden/>
    <w:rPr>
      <w:rFonts w:ascii="Calibri" w:hAnsi="Calibri" w:cs="Calibri"/>
      <w:b/>
      <w:bCs/>
      <w:sz w:val="28"/>
      <w:szCs w:val="28"/>
    </w:rPr>
  </w:style>
  <w:style w:type="character" w:styleId="683" w:customStyle="1">
    <w:name w:val="Заголовок 5 Знак"/>
    <w:basedOn w:val="676"/>
    <w:link w:val="671"/>
    <w:uiPriority w:val="99"/>
    <w:semiHidden/>
    <w:rPr>
      <w:rFonts w:ascii="Calibri" w:hAnsi="Calibri" w:cs="Calibri"/>
      <w:b/>
      <w:bCs/>
      <w:i/>
      <w:iCs/>
      <w:sz w:val="26"/>
      <w:szCs w:val="26"/>
    </w:rPr>
  </w:style>
  <w:style w:type="character" w:styleId="684" w:customStyle="1">
    <w:name w:val="Заголовок 6 Знак"/>
    <w:basedOn w:val="676"/>
    <w:link w:val="672"/>
    <w:uiPriority w:val="99"/>
    <w:semiHidden/>
    <w:rPr>
      <w:rFonts w:ascii="Calibri" w:hAnsi="Calibri" w:cs="Calibri"/>
      <w:b/>
      <w:bCs/>
    </w:rPr>
  </w:style>
  <w:style w:type="character" w:styleId="685" w:customStyle="1">
    <w:name w:val="Заголовок 7 Знак"/>
    <w:basedOn w:val="676"/>
    <w:link w:val="673"/>
    <w:uiPriority w:val="99"/>
    <w:semiHidden/>
    <w:rPr>
      <w:rFonts w:ascii="Calibri" w:hAnsi="Calibri" w:cs="Calibri"/>
      <w:sz w:val="24"/>
      <w:szCs w:val="24"/>
    </w:rPr>
  </w:style>
  <w:style w:type="character" w:styleId="686" w:customStyle="1">
    <w:name w:val="Заголовок 8 Знак"/>
    <w:basedOn w:val="676"/>
    <w:link w:val="674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687" w:customStyle="1">
    <w:name w:val="Заголовок 9 Знак"/>
    <w:basedOn w:val="676"/>
    <w:link w:val="675"/>
    <w:uiPriority w:val="99"/>
    <w:semiHidden/>
    <w:rPr>
      <w:rFonts w:ascii="Cambria" w:hAnsi="Cambria" w:cs="Cambria"/>
    </w:rPr>
  </w:style>
  <w:style w:type="paragraph" w:styleId="688">
    <w:name w:val="Header"/>
    <w:basedOn w:val="666"/>
    <w:link w:val="689"/>
    <w:uiPriority w:val="99"/>
    <w:pPr>
      <w:tabs>
        <w:tab w:val="center" w:pos="4677" w:leader="none"/>
        <w:tab w:val="right" w:pos="9355" w:leader="none"/>
      </w:tabs>
    </w:pPr>
  </w:style>
  <w:style w:type="character" w:styleId="689" w:customStyle="1">
    <w:name w:val="Верхний колонтитул Знак"/>
    <w:basedOn w:val="676"/>
    <w:link w:val="688"/>
    <w:uiPriority w:val="99"/>
    <w:semiHidden/>
    <w:rPr>
      <w:rFonts w:ascii="Arial" w:hAnsi="Arial" w:cs="Arial"/>
    </w:rPr>
  </w:style>
  <w:style w:type="character" w:styleId="690">
    <w:name w:val="Hyperlink"/>
    <w:basedOn w:val="676"/>
    <w:uiPriority w:val="99"/>
    <w:rPr>
      <w:rFonts w:cs="Times New Roman"/>
      <w:color w:val="0000FF"/>
      <w:u w:val="single"/>
    </w:rPr>
  </w:style>
  <w:style w:type="paragraph" w:styleId="691">
    <w:name w:val="Body Text"/>
    <w:basedOn w:val="666"/>
    <w:link w:val="692"/>
    <w:uiPriority w:val="99"/>
    <w:pPr>
      <w:jc w:val="left"/>
    </w:pPr>
    <w:rPr>
      <w:sz w:val="26"/>
      <w:szCs w:val="26"/>
    </w:rPr>
  </w:style>
  <w:style w:type="character" w:styleId="692" w:customStyle="1">
    <w:name w:val="Основной текст Знак"/>
    <w:basedOn w:val="676"/>
    <w:link w:val="691"/>
    <w:uiPriority w:val="99"/>
    <w:semiHidden/>
    <w:rPr>
      <w:rFonts w:ascii="Arial" w:hAnsi="Arial" w:cs="Arial"/>
    </w:rPr>
  </w:style>
  <w:style w:type="paragraph" w:styleId="693">
    <w:name w:val="Block Text"/>
    <w:basedOn w:val="666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694">
    <w:name w:val="Body Text Indent 2"/>
    <w:basedOn w:val="666"/>
    <w:link w:val="695"/>
    <w:uiPriority w:val="99"/>
    <w:pPr>
      <w:ind w:right="46" w:firstLine="4"/>
    </w:pPr>
    <w:rPr>
      <w:sz w:val="24"/>
      <w:szCs w:val="24"/>
    </w:rPr>
  </w:style>
  <w:style w:type="character" w:styleId="695" w:customStyle="1">
    <w:name w:val="Основной текст с отступом 2 Знак"/>
    <w:basedOn w:val="676"/>
    <w:link w:val="694"/>
    <w:uiPriority w:val="99"/>
    <w:semiHidden/>
    <w:rPr>
      <w:rFonts w:ascii="Arial" w:hAnsi="Arial" w:cs="Arial"/>
    </w:rPr>
  </w:style>
  <w:style w:type="paragraph" w:styleId="696">
    <w:name w:val="Body Text 2"/>
    <w:basedOn w:val="666"/>
    <w:link w:val="697"/>
    <w:uiPriority w:val="99"/>
    <w:pPr>
      <w:jc w:val="left"/>
    </w:pPr>
    <w:rPr>
      <w:b/>
      <w:bCs/>
    </w:rPr>
  </w:style>
  <w:style w:type="character" w:styleId="697" w:customStyle="1">
    <w:name w:val="Основной текст 2 Знак"/>
    <w:basedOn w:val="676"/>
    <w:link w:val="696"/>
    <w:uiPriority w:val="99"/>
    <w:semiHidden/>
    <w:rPr>
      <w:rFonts w:ascii="Arial" w:hAnsi="Arial" w:cs="Arial"/>
    </w:rPr>
  </w:style>
  <w:style w:type="paragraph" w:styleId="698">
    <w:name w:val="Footer"/>
    <w:basedOn w:val="666"/>
    <w:link w:val="699"/>
    <w:uiPriority w:val="99"/>
    <w:pPr>
      <w:jc w:val="left"/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699" w:customStyle="1">
    <w:name w:val="Нижний колонтитул Знак"/>
    <w:basedOn w:val="676"/>
    <w:link w:val="698"/>
    <w:uiPriority w:val="99"/>
    <w:semiHidden/>
    <w:rPr>
      <w:rFonts w:ascii="Arial" w:hAnsi="Arial" w:cs="Arial"/>
    </w:rPr>
  </w:style>
  <w:style w:type="paragraph" w:styleId="700">
    <w:name w:val="Body Text Indent 3"/>
    <w:basedOn w:val="666"/>
    <w:link w:val="701"/>
    <w:uiPriority w:val="99"/>
    <w:pPr>
      <w:ind w:left="2268" w:hanging="2268"/>
    </w:pPr>
    <w:rPr>
      <w:sz w:val="20"/>
      <w:szCs w:val="20"/>
    </w:rPr>
  </w:style>
  <w:style w:type="character" w:styleId="701" w:customStyle="1">
    <w:name w:val="Основной текст с отступом 3 Знак"/>
    <w:basedOn w:val="676"/>
    <w:link w:val="700"/>
    <w:uiPriority w:val="99"/>
    <w:semiHidden/>
    <w:rPr>
      <w:rFonts w:ascii="Arial" w:hAnsi="Arial" w:cs="Arial"/>
      <w:sz w:val="16"/>
      <w:szCs w:val="16"/>
    </w:rPr>
  </w:style>
  <w:style w:type="paragraph" w:styleId="702">
    <w:name w:val="Body Text 3"/>
    <w:basedOn w:val="666"/>
    <w:link w:val="703"/>
    <w:uiPriority w:val="99"/>
    <w:pPr>
      <w:jc w:val="left"/>
    </w:pPr>
    <w:rPr>
      <w:b/>
      <w:bCs/>
      <w:sz w:val="20"/>
      <w:szCs w:val="20"/>
    </w:rPr>
  </w:style>
  <w:style w:type="character" w:styleId="703" w:customStyle="1">
    <w:name w:val="Основной текст 3 Знак"/>
    <w:basedOn w:val="676"/>
    <w:link w:val="702"/>
    <w:uiPriority w:val="99"/>
    <w:semiHidden/>
    <w:rPr>
      <w:rFonts w:ascii="Arial" w:hAnsi="Arial" w:cs="Arial"/>
      <w:sz w:val="16"/>
      <w:szCs w:val="16"/>
    </w:rPr>
  </w:style>
  <w:style w:type="character" w:styleId="704" w:customStyle="1">
    <w:name w:val="Normal Знак"/>
    <w:basedOn w:val="676"/>
    <w:uiPriority w:val="99"/>
    <w:rPr>
      <w:rFonts w:ascii="Arial" w:hAnsi="Arial" w:cs="Arial"/>
      <w:sz w:val="22"/>
      <w:szCs w:val="22"/>
      <w:lang w:val="ru-RU" w:eastAsia="ru-RU"/>
    </w:rPr>
  </w:style>
  <w:style w:type="paragraph" w:styleId="705">
    <w:name w:val="Balloon Text"/>
    <w:basedOn w:val="666"/>
    <w:link w:val="706"/>
    <w:uiPriority w:val="99"/>
    <w:semiHidden/>
    <w:rPr>
      <w:rFonts w:ascii="Tahoma" w:hAnsi="Tahoma" w:cs="Tahoma"/>
      <w:sz w:val="16"/>
      <w:szCs w:val="16"/>
    </w:rPr>
  </w:style>
  <w:style w:type="character" w:styleId="706" w:customStyle="1">
    <w:name w:val="Текст выноски Знак"/>
    <w:basedOn w:val="676"/>
    <w:link w:val="705"/>
    <w:uiPriority w:val="99"/>
    <w:semiHidden/>
    <w:rPr>
      <w:rFonts w:ascii="Tahoma" w:hAnsi="Tahoma" w:cs="Tahoma"/>
      <w:sz w:val="16"/>
      <w:szCs w:val="16"/>
    </w:rPr>
  </w:style>
  <w:style w:type="paragraph" w:styleId="707">
    <w:name w:val="Title"/>
    <w:basedOn w:val="666"/>
    <w:next w:val="666"/>
    <w:link w:val="708"/>
    <w:uiPriority w:val="99"/>
    <w:qFormat/>
    <w:pPr>
      <w:jc w:val="center"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character" w:styleId="708" w:customStyle="1">
    <w:name w:val="Заголовок Знак"/>
    <w:basedOn w:val="676"/>
    <w:link w:val="707"/>
    <w:uiPriority w:val="99"/>
    <w:rPr>
      <w:rFonts w:ascii="Cambria" w:hAnsi="Cambria" w:cs="Cambria"/>
      <w:b/>
      <w:bCs/>
      <w:sz w:val="32"/>
      <w:szCs w:val="32"/>
    </w:rPr>
  </w:style>
  <w:style w:type="character" w:styleId="709">
    <w:name w:val="Strong"/>
    <w:basedOn w:val="676"/>
    <w:uiPriority w:val="99"/>
    <w:qFormat/>
    <w:rPr>
      <w:rFonts w:cs="Times New Roman"/>
      <w:b/>
      <w:bCs/>
    </w:rPr>
  </w:style>
  <w:style w:type="paragraph" w:styleId="710">
    <w:name w:val="Normal (Web)"/>
    <w:basedOn w:val="666"/>
    <w:uiPriority w:val="99"/>
    <w:pPr>
      <w:ind w:left="150"/>
      <w:jc w:val="left"/>
      <w:spacing w:after="100" w:afterAutospacing="1"/>
    </w:pPr>
    <w:rPr>
      <w:color w:val="000000"/>
      <w:sz w:val="20"/>
      <w:szCs w:val="20"/>
    </w:rPr>
  </w:style>
  <w:style w:type="paragraph" w:styleId="711">
    <w:name w:val="HTML Preformatted"/>
    <w:basedOn w:val="666"/>
    <w:link w:val="712"/>
    <w:uiPriority w:val="99"/>
    <w:pPr>
      <w:jc w:val="left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712" w:customStyle="1">
    <w:name w:val="Стандартный HTML Знак"/>
    <w:basedOn w:val="676"/>
    <w:link w:val="711"/>
    <w:uiPriority w:val="99"/>
    <w:semiHidden/>
    <w:rPr>
      <w:rFonts w:ascii="Courier New" w:hAnsi="Courier New" w:cs="Courier New"/>
      <w:sz w:val="20"/>
      <w:szCs w:val="20"/>
    </w:rPr>
  </w:style>
  <w:style w:type="table" w:styleId="713">
    <w:name w:val="Table Grid"/>
    <w:basedOn w:val="677"/>
    <w:uiPriority w:val="99"/>
    <w:pPr>
      <w:jc w:val="both"/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4">
    <w:name w:val="Subtitle"/>
    <w:basedOn w:val="666"/>
    <w:next w:val="666"/>
    <w:link w:val="715"/>
    <w:uiPriority w:val="11"/>
    <w:qFormat/>
    <w:pPr>
      <w:jc w:val="center"/>
      <w:spacing w:after="60"/>
      <w:outlineLvl w:val="1"/>
    </w:pPr>
    <w:rPr>
      <w:rFonts w:cs="Times New Roman" w:asciiTheme="majorHAnsi" w:hAnsiTheme="majorHAnsi" w:eastAsiaTheme="majorEastAsia"/>
      <w:sz w:val="24"/>
      <w:szCs w:val="24"/>
    </w:rPr>
  </w:style>
  <w:style w:type="character" w:styleId="715" w:customStyle="1">
    <w:name w:val="Подзаголовок Знак"/>
    <w:basedOn w:val="676"/>
    <w:link w:val="714"/>
    <w:uiPriority w:val="11"/>
    <w:rPr>
      <w:rFonts w:cs="Times New Roman" w:asciiTheme="majorHAnsi" w:hAnsiTheme="majorHAnsi" w:eastAsiaTheme="majorEastAsia"/>
      <w:sz w:val="24"/>
      <w:szCs w:val="24"/>
    </w:rPr>
  </w:style>
  <w:style w:type="paragraph" w:styleId="716">
    <w:name w:val="List Paragraph"/>
    <w:basedOn w:val="666"/>
    <w:link w:val="717"/>
    <w:uiPriority w:val="34"/>
    <w:qFormat/>
    <w:pPr>
      <w:contextualSpacing/>
      <w:ind w:left="720"/>
    </w:pPr>
  </w:style>
  <w:style w:type="character" w:styleId="717" w:customStyle="1">
    <w:name w:val="Абзац списка Знак"/>
    <w:link w:val="716"/>
    <w:uiPriority w:val="34"/>
    <w:rPr>
      <w:rFonts w:ascii="Arial" w:hAnsi="Arial" w:cs="Arial"/>
    </w:rPr>
  </w:style>
  <w:style w:type="character" w:styleId="718" w:customStyle="1">
    <w:name w:val="b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image" Target="media/image1.jpg"/><Relationship Id="rId13" Type="http://schemas.openxmlformats.org/officeDocument/2006/relationships/hyperlink" Target="http://www.sambiahotel.com" TargetMode="External"/><Relationship Id="rId14" Type="http://schemas.openxmlformats.org/officeDocument/2006/relationships/hyperlink" Target="http://www.educente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
</file>

<file path=customXml/item2.xml>
</file>

<file path=customXml/item3.xml>
</file>

<file path=customXml/itemProps1.xml><?xml version="1.0" encoding="utf-8"?>
<ds:datastoreItem xmlns:ds="http://schemas.openxmlformats.org/officeDocument/2006/customXml" ds:itemID="{6BB983C7-E30D-4B8C-9EF3-32EF692F5BD7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6FC06D31-825D-4EAE-A097-B52BE2B9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835ABD-47C5-4660-AFA0-FAB90BE274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xxx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Лаврик Алексей</cp:lastModifiedBy>
  <cp:revision>5</cp:revision>
  <dcterms:created xsi:type="dcterms:W3CDTF">2023-07-03T16:25:00Z</dcterms:created>
  <dcterms:modified xsi:type="dcterms:W3CDTF">2023-07-12T17:45:59Z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