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40D" w:rsidRDefault="00A5740D">
      <w:pPr>
        <w:jc w:val="center"/>
        <w:rPr>
          <w:rFonts w:ascii="Times New Roman" w:hAnsi="Times New Roman" w:cs="Times New Roman"/>
          <w:b/>
          <w:bCs/>
        </w:rPr>
      </w:pPr>
    </w:p>
    <w:p w:rsidR="00A5740D" w:rsidRDefault="00A5740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0.1_graphic02"/>
      <w:bookmarkEnd w:id="0"/>
      <w:r w:rsidRPr="00A5740D">
        <w:rPr>
          <w:rFonts w:ascii="Times New Roman" w:hAnsi="Times New Roman" w:cs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A5740D">
        <w:rPr>
          <w:rFonts w:ascii="Times New Roman" w:hAnsi="Times New Roman" w:cs="Times New Roman"/>
        </w:rPr>
        <w:pict>
          <v:shape id="_x0000_i0" o:spid="_x0000_i1025" type="#_x0000_t75" style="width:467.1pt;height:47.55pt;mso-wrap-distance-left:0;mso-wrap-distance-top:0;mso-wrap-distance-right:0;mso-wrap-distance-bottom:0">
            <v:imagedata r:id="rId11" o:title=""/>
            <v:path textboxrect="0,0,0,0"/>
          </v:shape>
        </w:pict>
      </w:r>
    </w:p>
    <w:p w:rsidR="00A5740D" w:rsidRDefault="00045CD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18 ноября – 19 ноября 2026 г.</w:t>
      </w:r>
    </w:p>
    <w:p w:rsidR="00A5740D" w:rsidRDefault="00045CD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Семинар «Практические аспекты применения МСФО 9. Резервы под обесценение и ожидаемые кредитные убытки: как создавать и учитывать»</w:t>
      </w:r>
    </w:p>
    <w:p w:rsidR="00A5740D" w:rsidRDefault="00A5740D">
      <w:pPr>
        <w:shd w:val="clear" w:color="auto" w:fill="FFFFFF"/>
        <w:ind w:left="-11"/>
        <w:outlineLvl w:val="2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A5740D" w:rsidRDefault="00045CDC">
      <w:pPr>
        <w:shd w:val="clear" w:color="auto" w:fill="FFFFFF"/>
        <w:ind w:left="-11" w:firstLine="153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Институт МФЦ</w:t>
      </w:r>
      <w:r w:rsidR="00F64C3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приглашает Вас принять участие в семинаре по теме: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Практические аспекты применения МСФО 9. Резервы под обесценение и ожидаемые кредитные убытки: как создавать и учитывать»</w:t>
      </w:r>
      <w:r w:rsidR="00F64C3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с представителем Банка России. </w:t>
      </w:r>
      <w:r>
        <w:rPr>
          <w:rFonts w:ascii="Times New Roman" w:hAnsi="Times New Roman" w:cs="Times New Roman"/>
          <w:sz w:val="24"/>
          <w:szCs w:val="24"/>
        </w:rPr>
        <w:t>Семинар состоится в Москве</w:t>
      </w:r>
      <w:r w:rsidR="00F64C38">
        <w:rPr>
          <w:rFonts w:ascii="Times New Roman" w:hAnsi="Times New Roman" w:cs="Times New Roman"/>
          <w:sz w:val="24"/>
          <w:szCs w:val="24"/>
        </w:rPr>
        <w:t xml:space="preserve"> </w:t>
      </w:r>
      <w:r w:rsidR="00F64C38">
        <w:rPr>
          <w:rFonts w:ascii="Times New Roman" w:hAnsi="Times New Roman" w:cs="Times New Roman"/>
          <w:b/>
          <w:sz w:val="24"/>
          <w:szCs w:val="24"/>
        </w:rPr>
        <w:t>18 </w:t>
      </w:r>
      <w:r>
        <w:rPr>
          <w:rFonts w:ascii="Times New Roman" w:hAnsi="Times New Roman" w:cs="Times New Roman"/>
          <w:b/>
          <w:sz w:val="24"/>
          <w:szCs w:val="24"/>
        </w:rPr>
        <w:t>ноября – 19 ноября 2026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i/>
          <w:sz w:val="24"/>
          <w:szCs w:val="24"/>
        </w:rPr>
        <w:t>Обучение пройдет в вечернем формате (19.00-22.00)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5740D" w:rsidRDefault="00A5740D">
      <w:pPr>
        <w:shd w:val="clear" w:color="auto" w:fill="FFFFFF"/>
        <w:ind w:left="-11" w:firstLine="153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Style w:val="af9"/>
        <w:tblW w:w="10348" w:type="dxa"/>
        <w:tblInd w:w="-5" w:type="dxa"/>
        <w:tblLook w:val="01E0"/>
      </w:tblPr>
      <w:tblGrid>
        <w:gridCol w:w="10348"/>
      </w:tblGrid>
      <w:tr w:rsidR="00A5740D">
        <w:trPr>
          <w:trHeight w:val="2177"/>
        </w:trPr>
        <w:tc>
          <w:tcPr>
            <w:tcW w:w="10348" w:type="dxa"/>
            <w:noWrap/>
          </w:tcPr>
          <w:p w:rsidR="00A5740D" w:rsidRDefault="00045CDC">
            <w:pPr>
              <w:pStyle w:val="afa"/>
              <w:shd w:val="clear" w:color="auto" w:fill="FFFFFF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bookmarkStart w:id="1" w:name="_Hlk38361666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Семинар посвящен анализу изменений в бухгалтерском учете ценных бумаг, депозитов и прочих размещенных средств, связанных с переходом на МСФО 9. На семинаре рассматриваются вопросы создания оценочных резервов по ожидаемые кредитные убытки по финансовым 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ктивам – ценным бумагам, депозитам, выданным займам, остаткам на расчетных счетах, авансам выданных поставщикам товаров, работ услуг, торговой дебиторской задолженности и дебиторской задолженности по аренде в соответствии с МСФО 9.</w:t>
            </w:r>
          </w:p>
          <w:p w:rsidR="00A5740D" w:rsidRDefault="00045CDC">
            <w:pPr>
              <w:pStyle w:val="afa"/>
              <w:shd w:val="clear" w:color="auto" w:fill="FFFFFF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Вы уже применяете М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СФО 9, то знания, полученные на семинаре, будут полезны Вам для разработки процедур валидации применяемых моделей</w:t>
            </w:r>
            <w:bookmarkEnd w:id="1"/>
          </w:p>
          <w:p w:rsidR="00A5740D" w:rsidRDefault="00045CDC">
            <w:pPr>
              <w:pStyle w:val="afa"/>
              <w:shd w:val="clear" w:color="auto" w:fill="FFFFFF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Семинар</w:t>
            </w:r>
            <w:r w:rsidR="00F64C3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рассчитан:</w:t>
            </w:r>
            <w:r w:rsidR="00F64C3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 бухгалтеров, внутренних контролеров, аудиторов,</w:t>
            </w:r>
            <w:r w:rsidR="00F64C3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риск-менеджеров,</w:t>
            </w:r>
            <w:r w:rsidR="00F64C3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руководителей, автоматизаторов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и других заинтересованных лиц.</w:t>
            </w:r>
          </w:p>
        </w:tc>
      </w:tr>
    </w:tbl>
    <w:p w:rsidR="00A5740D" w:rsidRDefault="00A5740D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5740D" w:rsidRDefault="00045CDC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ВОПРОСЫ СЕМИНАРА:</w:t>
      </w:r>
    </w:p>
    <w:p w:rsidR="00A5740D" w:rsidRDefault="00A5740D">
      <w:pPr>
        <w:tabs>
          <w:tab w:val="left" w:pos="10206"/>
        </w:tabs>
        <w:spacing w:line="12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5740D" w:rsidRDefault="00045CDC">
      <w:pPr>
        <w:tabs>
          <w:tab w:val="left" w:pos="10206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Блок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>: «Практические аспекты применения МСФО 9»</w:t>
      </w:r>
    </w:p>
    <w:p w:rsidR="00A5740D" w:rsidRDefault="00045CDC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классификации и реклассификации финансовых активов и обязательств в соответствии с МСФО 9</w:t>
      </w:r>
    </w:p>
    <w:p w:rsidR="00A5740D" w:rsidRDefault="00045CDC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Встроенные производные финансовые инструменты</w:t>
      </w:r>
    </w:p>
    <w:p w:rsidR="00A5740D" w:rsidRDefault="00045CDC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учета финансовых активов с плавающей процентной ставкой</w:t>
      </w:r>
    </w:p>
    <w:p w:rsidR="00A5740D" w:rsidRDefault="00045CDC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учета облигаций с индексируемым номиналом</w:t>
      </w:r>
    </w:p>
    <w:p w:rsidR="00A5740D" w:rsidRDefault="00045CDC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оценки собственного кредитного риска при учете финансовых обязательств по справедливой стоимости через прибыль или убыток.</w:t>
      </w:r>
    </w:p>
    <w:p w:rsidR="00A5740D" w:rsidRDefault="00045CDC">
      <w:pPr>
        <w:pStyle w:val="afc"/>
        <w:numPr>
          <w:ilvl w:val="0"/>
          <w:numId w:val="18"/>
        </w:numPr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Учет на дат</w:t>
      </w:r>
      <w:r>
        <w:rPr>
          <w:rFonts w:ascii="Times New Roman" w:hAnsi="Times New Roman" w:cs="Times New Roman"/>
          <w:sz w:val="24"/>
          <w:szCs w:val="24"/>
          <w:lang w:eastAsia="ru-RU"/>
        </w:rPr>
        <w:t>у заключения сделки vs. Учет на дату расчетов</w:t>
      </w:r>
    </w:p>
    <w:p w:rsidR="00A5740D" w:rsidRDefault="00045CDC">
      <w:pPr>
        <w:pStyle w:val="afc"/>
        <w:numPr>
          <w:ilvl w:val="0"/>
          <w:numId w:val="18"/>
        </w:numPr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Возникновение производного финансового инструмента в связи с приобретением ценных бумаг</w:t>
      </w:r>
    </w:p>
    <w:p w:rsidR="00A5740D" w:rsidRDefault="00045CDC">
      <w:pPr>
        <w:pStyle w:val="afc"/>
        <w:numPr>
          <w:ilvl w:val="0"/>
          <w:numId w:val="18"/>
        </w:numPr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Стандартные условия сделки</w:t>
      </w:r>
    </w:p>
    <w:p w:rsidR="00A5740D" w:rsidRDefault="00045CDC">
      <w:pPr>
        <w:pStyle w:val="afc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Порядок учета приобретения и выбытия ценных бумаг. Уточнение правил применения счетов 47407 и 4</w:t>
      </w:r>
      <w:r>
        <w:rPr>
          <w:rFonts w:ascii="Times New Roman" w:hAnsi="Times New Roman" w:cs="Times New Roman"/>
          <w:sz w:val="24"/>
          <w:szCs w:val="24"/>
          <w:lang w:eastAsia="ru-RU"/>
        </w:rPr>
        <w:t>7408, вступившее в силу с 01.01.2026.</w:t>
      </w:r>
    </w:p>
    <w:p w:rsidR="00A5740D" w:rsidRDefault="00045CDC">
      <w:pPr>
        <w:pStyle w:val="afc"/>
        <w:numPr>
          <w:ilvl w:val="0"/>
          <w:numId w:val="18"/>
        </w:numPr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Виды модификаций финансовых активов, приводящих и не приводящих к прекращению их признания. Существенная модификация финансовых активов.</w:t>
      </w:r>
    </w:p>
    <w:p w:rsidR="00A5740D" w:rsidRDefault="00045CDC">
      <w:pPr>
        <w:pStyle w:val="afc"/>
        <w:numPr>
          <w:ilvl w:val="0"/>
          <w:numId w:val="18"/>
        </w:numPr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Отражение в учете несущественной модификации финансовых активов </w:t>
      </w:r>
    </w:p>
    <w:p w:rsidR="00A5740D" w:rsidRDefault="00045CDC">
      <w:pPr>
        <w:pStyle w:val="afc"/>
        <w:numPr>
          <w:ilvl w:val="0"/>
          <w:numId w:val="18"/>
        </w:numPr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Способы учета ра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сходов, связанных с приобретением ценных бумаг, выдачей кредитов (займов) </w:t>
      </w:r>
    </w:p>
    <w:p w:rsidR="00A5740D" w:rsidRDefault="00045CDC">
      <w:pPr>
        <w:tabs>
          <w:tab w:val="left" w:pos="10206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Блок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bCs/>
          <w:sz w:val="24"/>
          <w:szCs w:val="24"/>
        </w:rPr>
        <w:t>: «Резервы под обесценение и ожидаемые кредитные убытки: как создавать и учитывать»</w:t>
      </w:r>
    </w:p>
    <w:p w:rsidR="00A5740D" w:rsidRDefault="00045CDC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Модели оценки создания оценочных резервов под ожидаемые кредитные убытки и ее валидация</w:t>
      </w:r>
    </w:p>
    <w:p w:rsidR="00A5740D" w:rsidRDefault="00045CDC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учета и создания оценочных резервов под ожидаемые кредитные убытки по финансовым активам, являющимся кредитно-обесцененными при первоначальном признании</w:t>
      </w:r>
    </w:p>
    <w:p w:rsidR="00A5740D" w:rsidRDefault="00045CDC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начисления процентов по кредитно-обесцененным финансовым активам</w:t>
      </w:r>
    </w:p>
    <w:p w:rsidR="00A5740D" w:rsidRDefault="00045CDC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 отражения резе</w:t>
      </w:r>
      <w:r>
        <w:rPr>
          <w:rFonts w:ascii="Times New Roman" w:hAnsi="Times New Roman" w:cs="Times New Roman"/>
          <w:sz w:val="24"/>
          <w:szCs w:val="24"/>
        </w:rPr>
        <w:t>рва под ожидаемые кредитные убытки в отчете о потоках денежных средств.</w:t>
      </w:r>
    </w:p>
    <w:p w:rsidR="00A5740D" w:rsidRDefault="00045CDC">
      <w:pPr>
        <w:pStyle w:val="afc"/>
        <w:numPr>
          <w:ilvl w:val="0"/>
          <w:numId w:val="19"/>
        </w:numPr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Влияние стадий кредитного кредитного обесценения на то, имело ли место прекращение признания или модификация финансового актива.</w:t>
      </w:r>
    </w:p>
    <w:p w:rsidR="00A5740D" w:rsidRDefault="00045CDC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Порядок учета выданной финансовой гарантии </w:t>
      </w:r>
    </w:p>
    <w:p w:rsidR="00A5740D" w:rsidRDefault="00045CDC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Учет финанс</w:t>
      </w:r>
      <w:r>
        <w:rPr>
          <w:rFonts w:ascii="Times New Roman" w:hAnsi="Times New Roman" w:cs="Times New Roman"/>
          <w:sz w:val="24"/>
          <w:szCs w:val="24"/>
        </w:rPr>
        <w:t xml:space="preserve">овой гарантии </w:t>
      </w:r>
      <w:r>
        <w:rPr>
          <w:rFonts w:ascii="Times New Roman" w:hAnsi="Times New Roman" w:cs="Times New Roman"/>
          <w:sz w:val="24"/>
          <w:szCs w:val="24"/>
          <w:lang w:val="en-US"/>
        </w:rPr>
        <w:t>vs</w:t>
      </w:r>
      <w:r>
        <w:rPr>
          <w:rFonts w:ascii="Times New Roman" w:hAnsi="Times New Roman" w:cs="Times New Roman"/>
          <w:sz w:val="24"/>
          <w:szCs w:val="24"/>
        </w:rPr>
        <w:t>. учет банковской гарантии</w:t>
      </w:r>
    </w:p>
    <w:p w:rsidR="00A5740D" w:rsidRDefault="00045CDC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Учет кредитной линии (обязательства по предоставлению займов)</w:t>
      </w:r>
    </w:p>
    <w:p w:rsidR="00A5740D" w:rsidRDefault="00A5740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5740D" w:rsidRDefault="00045CDC">
      <w:pPr>
        <w:pStyle w:val="afc"/>
        <w:ind w:left="0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Семинар проводит: </w:t>
      </w:r>
      <w:r>
        <w:rPr>
          <w:rFonts w:ascii="Times New Roman" w:hAnsi="Times New Roman" w:cs="Times New Roman"/>
          <w:sz w:val="24"/>
          <w:szCs w:val="24"/>
          <w:lang w:eastAsia="ru-RU"/>
        </w:rPr>
        <w:t>представитель Банка России.</w:t>
      </w:r>
    </w:p>
    <w:p w:rsidR="00A5740D" w:rsidRDefault="00A5740D">
      <w:pPr>
        <w:pStyle w:val="afc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740D" w:rsidRDefault="00045CDC">
      <w:pPr>
        <w:tabs>
          <w:tab w:val="left" w:pos="10206"/>
        </w:tabs>
        <w:ind w:right="-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>
        <w:rPr>
          <w:rFonts w:ascii="Times New Roman" w:hAnsi="Times New Roman" w:cs="Times New Roman"/>
          <w:sz w:val="24"/>
          <w:szCs w:val="24"/>
        </w:rPr>
        <w:t>семинар будет проходить в помещен</w:t>
      </w:r>
      <w:r w:rsidR="00F64C38">
        <w:rPr>
          <w:rFonts w:ascii="Times New Roman" w:hAnsi="Times New Roman" w:cs="Times New Roman"/>
          <w:sz w:val="24"/>
          <w:szCs w:val="24"/>
        </w:rPr>
        <w:t>ии Института МФЦ по адресу: ул. </w:t>
      </w:r>
      <w:r>
        <w:rPr>
          <w:rFonts w:ascii="Times New Roman" w:hAnsi="Times New Roman" w:cs="Times New Roman"/>
          <w:sz w:val="24"/>
          <w:szCs w:val="24"/>
        </w:rPr>
        <w:t xml:space="preserve">Буженинова, </w:t>
      </w:r>
      <w:r>
        <w:rPr>
          <w:rFonts w:ascii="Times New Roman" w:hAnsi="Times New Roman" w:cs="Times New Roman"/>
          <w:sz w:val="24"/>
          <w:szCs w:val="24"/>
        </w:rPr>
        <w:t xml:space="preserve">д. 30, стр. 1 Проезд до станции метро «Преображенская площадь». Начало регистрации в 18:40. Время проведения: 19:00 – 22:00. </w:t>
      </w:r>
      <w:r>
        <w:rPr>
          <w:rFonts w:ascii="Times New Roman" w:hAnsi="Times New Roman" w:cs="Times New Roman"/>
          <w:b/>
          <w:sz w:val="24"/>
          <w:szCs w:val="24"/>
        </w:rPr>
        <w:t>Возможно участие онлайн.</w:t>
      </w:r>
    </w:p>
    <w:p w:rsidR="00A5740D" w:rsidRDefault="00A5740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5740D" w:rsidRDefault="00045CD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Стоимость и скидки:</w:t>
      </w:r>
      <w:r w:rsidR="00F64C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</w:t>
      </w:r>
      <w:r>
        <w:rPr>
          <w:rFonts w:ascii="Times New Roman" w:hAnsi="Times New Roman"/>
          <w:b/>
          <w:i/>
          <w:sz w:val="24"/>
          <w:szCs w:val="24"/>
        </w:rPr>
        <w:t>тоимость</w:t>
      </w:r>
      <w:r>
        <w:rPr>
          <w:rFonts w:ascii="Times New Roman" w:hAnsi="Times New Roman"/>
          <w:sz w:val="24"/>
          <w:szCs w:val="24"/>
        </w:rPr>
        <w:t xml:space="preserve"> участия в семинаре для одного участника составляет 18 000 (Восемнадцать тыся</w:t>
      </w:r>
      <w:r>
        <w:rPr>
          <w:rFonts w:ascii="Times New Roman" w:hAnsi="Times New Roman"/>
          <w:sz w:val="24"/>
          <w:szCs w:val="24"/>
        </w:rPr>
        <w:t xml:space="preserve">ч) рублей, НДС не облагается. </w:t>
      </w:r>
      <w:r>
        <w:rPr>
          <w:rFonts w:ascii="Times New Roman" w:hAnsi="Times New Roman"/>
          <w:b/>
          <w:bCs/>
          <w:i/>
          <w:sz w:val="24"/>
          <w:szCs w:val="24"/>
        </w:rPr>
        <w:t>Скидки</w:t>
      </w:r>
      <w:r>
        <w:rPr>
          <w:rFonts w:ascii="Times New Roman" w:hAnsi="Times New Roman"/>
          <w:sz w:val="24"/>
          <w:szCs w:val="24"/>
        </w:rPr>
        <w:t xml:space="preserve"> - в размере 10 процентов предоставляются клиентам Института/Учебного центра МФЦ.</w:t>
      </w:r>
    </w:p>
    <w:p w:rsidR="00A5740D" w:rsidRDefault="00045CD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стоимость включаются: </w:t>
      </w:r>
      <w:r>
        <w:rPr>
          <w:rFonts w:ascii="Times New Roman" w:hAnsi="Times New Roman"/>
          <w:b/>
        </w:rPr>
        <w:t>кофе-брейк (для «очных» слушателей) и методические материалы</w:t>
      </w:r>
      <w:r>
        <w:rPr>
          <w:rFonts w:ascii="Times New Roman" w:hAnsi="Times New Roman"/>
        </w:rPr>
        <w:t>.</w:t>
      </w:r>
    </w:p>
    <w:p w:rsidR="00A5740D" w:rsidRDefault="00A5740D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A5740D" w:rsidRDefault="00045CDC">
      <w:pPr>
        <w:ind w:right="-6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Административная информация:</w:t>
      </w:r>
      <w:r w:rsidR="00F64C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заявки на участие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просьба направлять до 18 ноября 2026 г.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на имя</w:t>
      </w:r>
      <w:r w:rsidR="00F64C3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Шуваевой Марии или Махнович Инны по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тел./ф. (495) 921-2273- многоканальный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6@educenter.ru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интернет: </w:t>
      </w:r>
      <w:hyperlink r:id="rId12" w:tooltip="http://www.educenter.ru" w:history="1">
        <w:r>
          <w:rPr>
            <w:rStyle w:val="af1"/>
            <w:rFonts w:ascii="Times New Roman" w:hAnsi="Times New Roman" w:cs="Arial"/>
            <w:b/>
            <w:bCs/>
            <w:i/>
            <w:iCs/>
            <w:sz w:val="24"/>
            <w:szCs w:val="24"/>
          </w:rPr>
          <w:t>www.educenter.ru</w:t>
        </w:r>
      </w:hyperlink>
      <w:bookmarkStart w:id="2" w:name="_GoBack"/>
      <w:bookmarkEnd w:id="2"/>
    </w:p>
    <w:sectPr w:rsidR="00A5740D" w:rsidSect="00A5740D">
      <w:footerReference w:type="default" r:id="rId13"/>
      <w:pgSz w:w="11906" w:h="16838"/>
      <w:pgMar w:top="426" w:right="707" w:bottom="567" w:left="851" w:header="72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5CDC" w:rsidRDefault="00045CDC">
      <w:r>
        <w:separator/>
      </w:r>
    </w:p>
  </w:endnote>
  <w:endnote w:type="continuationSeparator" w:id="1">
    <w:p w:rsidR="00045CDC" w:rsidRDefault="00045C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40D" w:rsidRDefault="00045CDC">
    <w:pPr>
      <w:pStyle w:val="Footer"/>
      <w:pBdr>
        <w:top w:val="single" w:sz="4" w:space="1" w:color="000000"/>
      </w:pBdr>
      <w:jc w:val="both"/>
      <w:rPr>
        <w:rFonts w:ascii="Times New Roman" w:hAnsi="Times New Roman"/>
        <w:i/>
      </w:rPr>
    </w:pPr>
    <w:r>
      <w:rPr>
        <w:rFonts w:ascii="Times New Roman" w:hAnsi="Times New Roman"/>
        <w:i/>
      </w:rPr>
      <w:t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</w:t>
    </w:r>
    <w:r>
      <w:rPr>
        <w:rFonts w:ascii="Times New Roman" w:hAnsi="Times New Roman"/>
        <w:i/>
      </w:rPr>
      <w:t xml:space="preserve">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A5740D" w:rsidRDefault="00A5740D">
    <w:pPr>
      <w:pStyle w:val="Footer"/>
    </w:pPr>
  </w:p>
  <w:p w:rsidR="00A5740D" w:rsidRDefault="00A5740D">
    <w:pPr>
      <w:pStyle w:val="Footer"/>
      <w:jc w:val="both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5CDC" w:rsidRDefault="00045CDC">
      <w:r>
        <w:separator/>
      </w:r>
    </w:p>
  </w:footnote>
  <w:footnote w:type="continuationSeparator" w:id="1">
    <w:p w:rsidR="00045CDC" w:rsidRDefault="00045CD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660AC"/>
    <w:multiLevelType w:val="hybridMultilevel"/>
    <w:tmpl w:val="E05EFB6E"/>
    <w:lvl w:ilvl="0" w:tplc="4A341F3E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1FA49EC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6F7C491C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17A45C3C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BFC47286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20746F78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EA9266A2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EC0AFA66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CB7C08C4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4A86020"/>
    <w:multiLevelType w:val="hybridMultilevel"/>
    <w:tmpl w:val="FC1073C0"/>
    <w:lvl w:ilvl="0" w:tplc="EF205B62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374E2CFE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7FFC5646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34144382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5F88549C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6730FC16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91E22EE8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3425CFA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70865C8E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07F04305"/>
    <w:multiLevelType w:val="hybridMultilevel"/>
    <w:tmpl w:val="B9E03D8E"/>
    <w:lvl w:ilvl="0" w:tplc="EF86789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881ADF9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CDBEAA7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5CE862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180337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A32380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3E6DFF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214C4F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9EEA82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8A67287"/>
    <w:multiLevelType w:val="hybridMultilevel"/>
    <w:tmpl w:val="8558E4D4"/>
    <w:lvl w:ilvl="0" w:tplc="38A0B516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9C46A7C2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5D2CF020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9F96E494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97CE451E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1A5EF306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D870CD64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F927468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330EF736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>
    <w:nsid w:val="0C0261D5"/>
    <w:multiLevelType w:val="hybridMultilevel"/>
    <w:tmpl w:val="E27684C6"/>
    <w:lvl w:ilvl="0" w:tplc="1D966A0C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EE747FD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62823B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18C13C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1BC819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52864F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E18F84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CF4060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5D2F06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3F007C6"/>
    <w:multiLevelType w:val="hybridMultilevel"/>
    <w:tmpl w:val="CE6A39BC"/>
    <w:lvl w:ilvl="0" w:tplc="29C25626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5E6231F6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FFB0BC54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753862B0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7FA453EC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11122A58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C3BEF77C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D98ED2C2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F2F0607E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>
    <w:nsid w:val="16D52DE2"/>
    <w:multiLevelType w:val="hybridMultilevel"/>
    <w:tmpl w:val="C1708AA6"/>
    <w:lvl w:ilvl="0" w:tplc="98DE04C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1A4ADF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E86C35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F7E9AE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90AC9F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98CA237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8866E0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11E3D3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902244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A3C1FE4"/>
    <w:multiLevelType w:val="hybridMultilevel"/>
    <w:tmpl w:val="52B0A082"/>
    <w:lvl w:ilvl="0" w:tplc="2ABCF5F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603C452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FCC108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A14671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4E4C4E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1F876F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84E7C8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C62C2EF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C72EAE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0576EC4"/>
    <w:multiLevelType w:val="hybridMultilevel"/>
    <w:tmpl w:val="7068B1AA"/>
    <w:lvl w:ilvl="0" w:tplc="5418A15A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605294EC">
      <w:numFmt w:val="none"/>
      <w:lvlText w:val=""/>
      <w:lvlJc w:val="left"/>
      <w:pPr>
        <w:tabs>
          <w:tab w:val="num" w:pos="360"/>
        </w:tabs>
      </w:pPr>
    </w:lvl>
    <w:lvl w:ilvl="2" w:tplc="B8B8EDD2">
      <w:numFmt w:val="none"/>
      <w:lvlText w:val=""/>
      <w:lvlJc w:val="left"/>
      <w:pPr>
        <w:tabs>
          <w:tab w:val="num" w:pos="360"/>
        </w:tabs>
      </w:pPr>
    </w:lvl>
    <w:lvl w:ilvl="3" w:tplc="3F7E20A2">
      <w:numFmt w:val="none"/>
      <w:lvlText w:val=""/>
      <w:lvlJc w:val="left"/>
      <w:pPr>
        <w:tabs>
          <w:tab w:val="num" w:pos="360"/>
        </w:tabs>
      </w:pPr>
    </w:lvl>
    <w:lvl w:ilvl="4" w:tplc="4634B7D4">
      <w:numFmt w:val="none"/>
      <w:lvlText w:val=""/>
      <w:lvlJc w:val="left"/>
      <w:pPr>
        <w:tabs>
          <w:tab w:val="num" w:pos="360"/>
        </w:tabs>
      </w:pPr>
    </w:lvl>
    <w:lvl w:ilvl="5" w:tplc="DD385D5A">
      <w:numFmt w:val="none"/>
      <w:lvlText w:val=""/>
      <w:lvlJc w:val="left"/>
      <w:pPr>
        <w:tabs>
          <w:tab w:val="num" w:pos="360"/>
        </w:tabs>
      </w:pPr>
    </w:lvl>
    <w:lvl w:ilvl="6" w:tplc="DE6448C2">
      <w:numFmt w:val="none"/>
      <w:lvlText w:val=""/>
      <w:lvlJc w:val="left"/>
      <w:pPr>
        <w:tabs>
          <w:tab w:val="num" w:pos="360"/>
        </w:tabs>
      </w:pPr>
    </w:lvl>
    <w:lvl w:ilvl="7" w:tplc="BF3605CA">
      <w:numFmt w:val="none"/>
      <w:lvlText w:val=""/>
      <w:lvlJc w:val="left"/>
      <w:pPr>
        <w:tabs>
          <w:tab w:val="num" w:pos="360"/>
        </w:tabs>
      </w:pPr>
    </w:lvl>
    <w:lvl w:ilvl="8" w:tplc="50CC3A3C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21062A31"/>
    <w:multiLevelType w:val="hybridMultilevel"/>
    <w:tmpl w:val="95123C58"/>
    <w:lvl w:ilvl="0" w:tplc="7CA68A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6C57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D636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CE19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7C1C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1A88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3CAE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007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34C2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B4622C"/>
    <w:multiLevelType w:val="hybridMultilevel"/>
    <w:tmpl w:val="E9D4F5FA"/>
    <w:lvl w:ilvl="0" w:tplc="0D72366A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EFD212A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870A202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66213A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B1E775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C28546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8294D02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978ECD4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48ED53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7D43078"/>
    <w:multiLevelType w:val="hybridMultilevel"/>
    <w:tmpl w:val="8B942B84"/>
    <w:lvl w:ilvl="0" w:tplc="BFACD6C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C05AEDA0">
      <w:numFmt w:val="none"/>
      <w:lvlText w:val=""/>
      <w:lvlJc w:val="left"/>
      <w:pPr>
        <w:tabs>
          <w:tab w:val="num" w:pos="360"/>
        </w:tabs>
      </w:pPr>
    </w:lvl>
    <w:lvl w:ilvl="2" w:tplc="BECE5DA4">
      <w:numFmt w:val="none"/>
      <w:lvlText w:val=""/>
      <w:lvlJc w:val="left"/>
      <w:pPr>
        <w:tabs>
          <w:tab w:val="num" w:pos="360"/>
        </w:tabs>
      </w:pPr>
    </w:lvl>
    <w:lvl w:ilvl="3" w:tplc="B9ACB30C">
      <w:numFmt w:val="none"/>
      <w:lvlText w:val=""/>
      <w:lvlJc w:val="left"/>
      <w:pPr>
        <w:tabs>
          <w:tab w:val="num" w:pos="360"/>
        </w:tabs>
      </w:pPr>
    </w:lvl>
    <w:lvl w:ilvl="4" w:tplc="738C454A">
      <w:numFmt w:val="none"/>
      <w:lvlText w:val=""/>
      <w:lvlJc w:val="left"/>
      <w:pPr>
        <w:tabs>
          <w:tab w:val="num" w:pos="360"/>
        </w:tabs>
      </w:pPr>
    </w:lvl>
    <w:lvl w:ilvl="5" w:tplc="811C8BEE">
      <w:numFmt w:val="none"/>
      <w:lvlText w:val=""/>
      <w:lvlJc w:val="left"/>
      <w:pPr>
        <w:tabs>
          <w:tab w:val="num" w:pos="360"/>
        </w:tabs>
      </w:pPr>
    </w:lvl>
    <w:lvl w:ilvl="6" w:tplc="8B8C20DC">
      <w:numFmt w:val="none"/>
      <w:lvlText w:val=""/>
      <w:lvlJc w:val="left"/>
      <w:pPr>
        <w:tabs>
          <w:tab w:val="num" w:pos="360"/>
        </w:tabs>
      </w:pPr>
    </w:lvl>
    <w:lvl w:ilvl="7" w:tplc="21FC3910">
      <w:numFmt w:val="none"/>
      <w:lvlText w:val=""/>
      <w:lvlJc w:val="left"/>
      <w:pPr>
        <w:tabs>
          <w:tab w:val="num" w:pos="360"/>
        </w:tabs>
      </w:pPr>
    </w:lvl>
    <w:lvl w:ilvl="8" w:tplc="9B7C8D26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2AB35379"/>
    <w:multiLevelType w:val="hybridMultilevel"/>
    <w:tmpl w:val="267CD920"/>
    <w:lvl w:ilvl="0" w:tplc="31E21BA0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4328DF60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27F6532E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9918D9A2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B336D47C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516872D0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38323F5E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472259E8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95FA0C52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>
    <w:nsid w:val="2B2F69E7"/>
    <w:multiLevelType w:val="hybridMultilevel"/>
    <w:tmpl w:val="82C2BCEC"/>
    <w:lvl w:ilvl="0" w:tplc="1FD2000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 w:val="0"/>
      </w:rPr>
    </w:lvl>
    <w:lvl w:ilvl="1" w:tplc="70365958">
      <w:numFmt w:val="none"/>
      <w:lvlText w:val=""/>
      <w:lvlJc w:val="left"/>
      <w:pPr>
        <w:tabs>
          <w:tab w:val="num" w:pos="360"/>
        </w:tabs>
      </w:pPr>
    </w:lvl>
    <w:lvl w:ilvl="2" w:tplc="F2925CD2">
      <w:numFmt w:val="none"/>
      <w:lvlText w:val=""/>
      <w:lvlJc w:val="left"/>
      <w:pPr>
        <w:tabs>
          <w:tab w:val="num" w:pos="360"/>
        </w:tabs>
      </w:pPr>
    </w:lvl>
    <w:lvl w:ilvl="3" w:tplc="63A29370">
      <w:numFmt w:val="none"/>
      <w:lvlText w:val=""/>
      <w:lvlJc w:val="left"/>
      <w:pPr>
        <w:tabs>
          <w:tab w:val="num" w:pos="360"/>
        </w:tabs>
      </w:pPr>
    </w:lvl>
    <w:lvl w:ilvl="4" w:tplc="C1BA785E">
      <w:numFmt w:val="none"/>
      <w:lvlText w:val=""/>
      <w:lvlJc w:val="left"/>
      <w:pPr>
        <w:tabs>
          <w:tab w:val="num" w:pos="360"/>
        </w:tabs>
      </w:pPr>
    </w:lvl>
    <w:lvl w:ilvl="5" w:tplc="2040964E">
      <w:numFmt w:val="none"/>
      <w:lvlText w:val=""/>
      <w:lvlJc w:val="left"/>
      <w:pPr>
        <w:tabs>
          <w:tab w:val="num" w:pos="360"/>
        </w:tabs>
      </w:pPr>
    </w:lvl>
    <w:lvl w:ilvl="6" w:tplc="B4CC66B8">
      <w:numFmt w:val="none"/>
      <w:lvlText w:val=""/>
      <w:lvlJc w:val="left"/>
      <w:pPr>
        <w:tabs>
          <w:tab w:val="num" w:pos="360"/>
        </w:tabs>
      </w:pPr>
    </w:lvl>
    <w:lvl w:ilvl="7" w:tplc="FA24CA8C">
      <w:numFmt w:val="none"/>
      <w:lvlText w:val=""/>
      <w:lvlJc w:val="left"/>
      <w:pPr>
        <w:tabs>
          <w:tab w:val="num" w:pos="360"/>
        </w:tabs>
      </w:pPr>
    </w:lvl>
    <w:lvl w:ilvl="8" w:tplc="FEA00B8C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482A246F"/>
    <w:multiLevelType w:val="hybridMultilevel"/>
    <w:tmpl w:val="F2AC3EFE"/>
    <w:lvl w:ilvl="0" w:tplc="27D2F1CE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C8B826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39D27DDE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230E2612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C1A253C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C8446580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6896C562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CC184B66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FC6684A2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>
    <w:nsid w:val="56D203F3"/>
    <w:multiLevelType w:val="hybridMultilevel"/>
    <w:tmpl w:val="4A227B32"/>
    <w:lvl w:ilvl="0" w:tplc="C388D612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289443C6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730AE8CA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2696C30A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E898C02A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C56A1092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112C0698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77F8CAF2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2C760626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16">
    <w:nsid w:val="77E859BA"/>
    <w:multiLevelType w:val="hybridMultilevel"/>
    <w:tmpl w:val="E618EA10"/>
    <w:lvl w:ilvl="0" w:tplc="2E72123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</w:rPr>
    </w:lvl>
    <w:lvl w:ilvl="1" w:tplc="8A04236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89215A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D545A2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643CDF5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8065EF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A5CD30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9DCB4F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59686B2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4"/>
  </w:num>
  <w:num w:numId="3">
    <w:abstractNumId w:val="15"/>
  </w:num>
  <w:num w:numId="4">
    <w:abstractNumId w:val="14"/>
  </w:num>
  <w:num w:numId="5">
    <w:abstractNumId w:val="3"/>
  </w:num>
  <w:num w:numId="6">
    <w:abstractNumId w:val="5"/>
  </w:num>
  <w:num w:numId="7">
    <w:abstractNumId w:val="12"/>
  </w:num>
  <w:num w:numId="8">
    <w:abstractNumId w:val="6"/>
  </w:num>
  <w:num w:numId="9">
    <w:abstractNumId w:val="10"/>
  </w:num>
  <w:num w:numId="10">
    <w:abstractNumId w:val="13"/>
  </w:num>
  <w:num w:numId="11">
    <w:abstractNumId w:val="0"/>
  </w:num>
  <w:num w:numId="12">
    <w:abstractNumId w:val="1"/>
  </w:num>
  <w:num w:numId="13">
    <w:abstractNumId w:val="2"/>
  </w:num>
  <w:num w:numId="14">
    <w:abstractNumId w:val="16"/>
  </w:num>
  <w:num w:numId="15">
    <w:abstractNumId w:val="11"/>
  </w:num>
  <w:num w:numId="16">
    <w:abstractNumId w:val="7"/>
  </w:num>
  <w:num w:numId="17">
    <w:abstractNumId w:val="8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5740D"/>
    <w:rsid w:val="00045CDC"/>
    <w:rsid w:val="00A5740D"/>
    <w:rsid w:val="00F64C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40D"/>
    <w:pPr>
      <w:spacing w:after="0" w:line="240" w:lineRule="auto"/>
      <w:jc w:val="both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A5740D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A5740D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link w:val="Heading3"/>
    <w:uiPriority w:val="9"/>
    <w:rsid w:val="00A5740D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A5740D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A5740D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A5740D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A5740D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A5740D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rsid w:val="00A5740D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rsid w:val="00A5740D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A5740D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A5740D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A5740D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A5740D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A5740D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A5740D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A5740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A5740D"/>
    <w:rPr>
      <w:i/>
    </w:rPr>
  </w:style>
  <w:style w:type="character" w:customStyle="1" w:styleId="HeaderChar">
    <w:name w:val="Header Char"/>
    <w:basedOn w:val="a0"/>
    <w:link w:val="Header"/>
    <w:uiPriority w:val="99"/>
    <w:rsid w:val="00A5740D"/>
  </w:style>
  <w:style w:type="character" w:customStyle="1" w:styleId="FooterChar">
    <w:name w:val="Footer Char"/>
    <w:basedOn w:val="a0"/>
    <w:link w:val="Footer"/>
    <w:uiPriority w:val="99"/>
    <w:rsid w:val="00A5740D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A5740D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A5740D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A5740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A5740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A574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5740D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A5740D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5740D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5740D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5740D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5740D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5740D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5740D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A5740D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5740D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5740D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5740D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5740D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5740D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574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link w:val="aa"/>
    <w:uiPriority w:val="99"/>
    <w:rsid w:val="00A5740D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sid w:val="00A5740D"/>
    <w:rPr>
      <w:sz w:val="20"/>
    </w:rPr>
  </w:style>
  <w:style w:type="character" w:customStyle="1" w:styleId="ac">
    <w:name w:val="Текст концевой сноски Знак"/>
    <w:link w:val="ab"/>
    <w:uiPriority w:val="99"/>
    <w:rsid w:val="00A5740D"/>
    <w:rPr>
      <w:sz w:val="20"/>
    </w:rPr>
  </w:style>
  <w:style w:type="character" w:styleId="ad">
    <w:name w:val="endnote reference"/>
    <w:basedOn w:val="a0"/>
    <w:uiPriority w:val="99"/>
    <w:semiHidden/>
    <w:unhideWhenUsed/>
    <w:rsid w:val="00A5740D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A5740D"/>
    <w:pPr>
      <w:spacing w:after="57"/>
    </w:pPr>
  </w:style>
  <w:style w:type="paragraph" w:styleId="21">
    <w:name w:val="toc 2"/>
    <w:basedOn w:val="a"/>
    <w:next w:val="a"/>
    <w:uiPriority w:val="39"/>
    <w:unhideWhenUsed/>
    <w:rsid w:val="00A5740D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A5740D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A5740D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A5740D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A5740D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A5740D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A5740D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A5740D"/>
    <w:pPr>
      <w:spacing w:after="57"/>
      <w:ind w:left="2268"/>
    </w:pPr>
  </w:style>
  <w:style w:type="paragraph" w:styleId="ae">
    <w:name w:val="TOC Heading"/>
    <w:uiPriority w:val="39"/>
    <w:unhideWhenUsed/>
    <w:rsid w:val="00A5740D"/>
  </w:style>
  <w:style w:type="paragraph" w:styleId="af">
    <w:name w:val="table of figures"/>
    <w:basedOn w:val="a"/>
    <w:next w:val="a"/>
    <w:uiPriority w:val="99"/>
    <w:unhideWhenUsed/>
    <w:rsid w:val="00A5740D"/>
  </w:style>
  <w:style w:type="paragraph" w:customStyle="1" w:styleId="Heading1">
    <w:name w:val="Heading 1"/>
    <w:basedOn w:val="a"/>
    <w:next w:val="a"/>
    <w:link w:val="10"/>
    <w:uiPriority w:val="99"/>
    <w:qFormat/>
    <w:rsid w:val="00A5740D"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customStyle="1" w:styleId="Heading2">
    <w:name w:val="Heading 2"/>
    <w:basedOn w:val="a"/>
    <w:next w:val="a"/>
    <w:link w:val="22"/>
    <w:uiPriority w:val="99"/>
    <w:qFormat/>
    <w:rsid w:val="00A5740D"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customStyle="1" w:styleId="Heading3">
    <w:name w:val="Heading 3"/>
    <w:basedOn w:val="a"/>
    <w:next w:val="a"/>
    <w:link w:val="30"/>
    <w:uiPriority w:val="99"/>
    <w:qFormat/>
    <w:rsid w:val="00A5740D"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customStyle="1" w:styleId="Heading4">
    <w:name w:val="Heading 4"/>
    <w:basedOn w:val="a"/>
    <w:next w:val="a"/>
    <w:link w:val="40"/>
    <w:uiPriority w:val="99"/>
    <w:qFormat/>
    <w:rsid w:val="00A5740D"/>
    <w:pPr>
      <w:keepNext/>
      <w:jc w:val="left"/>
      <w:outlineLvl w:val="3"/>
    </w:pPr>
    <w:rPr>
      <w:sz w:val="24"/>
      <w:szCs w:val="24"/>
    </w:rPr>
  </w:style>
  <w:style w:type="paragraph" w:customStyle="1" w:styleId="Heading5">
    <w:name w:val="Heading 5"/>
    <w:basedOn w:val="a"/>
    <w:next w:val="a"/>
    <w:link w:val="50"/>
    <w:uiPriority w:val="99"/>
    <w:qFormat/>
    <w:rsid w:val="00A5740D"/>
    <w:pPr>
      <w:keepNext/>
      <w:ind w:left="-840" w:right="-765"/>
      <w:jc w:val="center"/>
      <w:outlineLvl w:val="4"/>
    </w:pPr>
    <w:rPr>
      <w:b/>
      <w:bCs/>
      <w:u w:val="single"/>
    </w:rPr>
  </w:style>
  <w:style w:type="paragraph" w:customStyle="1" w:styleId="Heading6">
    <w:name w:val="Heading 6"/>
    <w:basedOn w:val="a"/>
    <w:next w:val="a"/>
    <w:link w:val="60"/>
    <w:uiPriority w:val="99"/>
    <w:qFormat/>
    <w:rsid w:val="00A5740D"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customStyle="1" w:styleId="Heading7">
    <w:name w:val="Heading 7"/>
    <w:basedOn w:val="a"/>
    <w:next w:val="a"/>
    <w:link w:val="70"/>
    <w:uiPriority w:val="99"/>
    <w:qFormat/>
    <w:rsid w:val="00A5740D"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customStyle="1" w:styleId="Heading8">
    <w:name w:val="Heading 8"/>
    <w:basedOn w:val="a"/>
    <w:next w:val="a"/>
    <w:link w:val="80"/>
    <w:uiPriority w:val="99"/>
    <w:qFormat/>
    <w:rsid w:val="00A5740D"/>
    <w:pPr>
      <w:keepNext/>
      <w:ind w:firstLine="709"/>
      <w:jc w:val="left"/>
      <w:outlineLvl w:val="7"/>
    </w:pPr>
    <w:rPr>
      <w:b/>
      <w:bCs/>
    </w:rPr>
  </w:style>
  <w:style w:type="paragraph" w:customStyle="1" w:styleId="Heading9">
    <w:name w:val="Heading 9"/>
    <w:basedOn w:val="a"/>
    <w:next w:val="a"/>
    <w:link w:val="90"/>
    <w:uiPriority w:val="99"/>
    <w:qFormat/>
    <w:rsid w:val="00A5740D"/>
    <w:pPr>
      <w:keepNext/>
      <w:jc w:val="center"/>
      <w:outlineLvl w:val="8"/>
    </w:pPr>
    <w:rPr>
      <w:b/>
      <w:bCs/>
      <w:sz w:val="18"/>
      <w:szCs w:val="18"/>
    </w:rPr>
  </w:style>
  <w:style w:type="character" w:customStyle="1" w:styleId="10">
    <w:name w:val="Заголовок 1 Знак"/>
    <w:basedOn w:val="a0"/>
    <w:link w:val="Heading1"/>
    <w:uiPriority w:val="99"/>
    <w:rsid w:val="00A5740D"/>
    <w:rPr>
      <w:rFonts w:ascii="Cambria" w:hAnsi="Cambria" w:cs="Cambria"/>
      <w:b/>
      <w:bCs/>
      <w:sz w:val="32"/>
      <w:szCs w:val="32"/>
    </w:rPr>
  </w:style>
  <w:style w:type="character" w:customStyle="1" w:styleId="22">
    <w:name w:val="Заголовок 2 Знак"/>
    <w:basedOn w:val="a0"/>
    <w:link w:val="Heading2"/>
    <w:uiPriority w:val="99"/>
    <w:semiHidden/>
    <w:rsid w:val="00A5740D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Heading3"/>
    <w:uiPriority w:val="99"/>
    <w:semiHidden/>
    <w:rsid w:val="00A5740D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Heading4"/>
    <w:uiPriority w:val="99"/>
    <w:semiHidden/>
    <w:rsid w:val="00A5740D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Heading5"/>
    <w:uiPriority w:val="99"/>
    <w:semiHidden/>
    <w:rsid w:val="00A5740D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Heading6"/>
    <w:uiPriority w:val="99"/>
    <w:semiHidden/>
    <w:rsid w:val="00A5740D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Heading7"/>
    <w:uiPriority w:val="99"/>
    <w:semiHidden/>
    <w:rsid w:val="00A5740D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Heading8"/>
    <w:uiPriority w:val="99"/>
    <w:semiHidden/>
    <w:rsid w:val="00A5740D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Heading9"/>
    <w:uiPriority w:val="99"/>
    <w:semiHidden/>
    <w:rsid w:val="00A5740D"/>
    <w:rPr>
      <w:rFonts w:ascii="Cambria" w:hAnsi="Cambria" w:cs="Cambria"/>
    </w:rPr>
  </w:style>
  <w:style w:type="paragraph" w:customStyle="1" w:styleId="Header">
    <w:name w:val="Header"/>
    <w:basedOn w:val="a"/>
    <w:link w:val="af0"/>
    <w:uiPriority w:val="99"/>
    <w:rsid w:val="00A5740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Header"/>
    <w:uiPriority w:val="99"/>
    <w:semiHidden/>
    <w:rsid w:val="00A5740D"/>
    <w:rPr>
      <w:rFonts w:ascii="Arial" w:hAnsi="Arial" w:cs="Arial"/>
    </w:rPr>
  </w:style>
  <w:style w:type="character" w:styleId="af1">
    <w:name w:val="Hyperlink"/>
    <w:basedOn w:val="a0"/>
    <w:uiPriority w:val="99"/>
    <w:rsid w:val="00A5740D"/>
    <w:rPr>
      <w:rFonts w:cs="Times New Roman"/>
      <w:color w:val="0000FF"/>
      <w:u w:val="single"/>
    </w:rPr>
  </w:style>
  <w:style w:type="paragraph" w:styleId="af2">
    <w:name w:val="Body Text"/>
    <w:basedOn w:val="a"/>
    <w:link w:val="af3"/>
    <w:uiPriority w:val="99"/>
    <w:rsid w:val="00A5740D"/>
    <w:pPr>
      <w:jc w:val="left"/>
    </w:pPr>
    <w:rPr>
      <w:sz w:val="26"/>
      <w:szCs w:val="26"/>
    </w:rPr>
  </w:style>
  <w:style w:type="character" w:customStyle="1" w:styleId="af3">
    <w:name w:val="Основной текст Знак"/>
    <w:basedOn w:val="a0"/>
    <w:link w:val="af2"/>
    <w:uiPriority w:val="99"/>
    <w:semiHidden/>
    <w:rsid w:val="00A5740D"/>
    <w:rPr>
      <w:rFonts w:ascii="Arial" w:hAnsi="Arial" w:cs="Arial"/>
    </w:rPr>
  </w:style>
  <w:style w:type="paragraph" w:styleId="af4">
    <w:name w:val="Block Text"/>
    <w:basedOn w:val="a"/>
    <w:uiPriority w:val="99"/>
    <w:rsid w:val="00A5740D"/>
    <w:pPr>
      <w:ind w:left="-24" w:right="-765"/>
      <w:jc w:val="left"/>
    </w:pPr>
    <w:rPr>
      <w:b/>
      <w:bCs/>
      <w:sz w:val="24"/>
      <w:szCs w:val="24"/>
    </w:rPr>
  </w:style>
  <w:style w:type="paragraph" w:styleId="23">
    <w:name w:val="Body Text Indent 2"/>
    <w:basedOn w:val="a"/>
    <w:link w:val="24"/>
    <w:uiPriority w:val="99"/>
    <w:rsid w:val="00A5740D"/>
    <w:pPr>
      <w:ind w:right="46" w:firstLine="4"/>
    </w:pPr>
    <w:rPr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5740D"/>
    <w:rPr>
      <w:rFonts w:ascii="Arial" w:hAnsi="Arial" w:cs="Arial"/>
    </w:rPr>
  </w:style>
  <w:style w:type="paragraph" w:styleId="25">
    <w:name w:val="Body Text 2"/>
    <w:basedOn w:val="a"/>
    <w:link w:val="26"/>
    <w:uiPriority w:val="99"/>
    <w:rsid w:val="00A5740D"/>
    <w:pPr>
      <w:jc w:val="left"/>
    </w:pPr>
    <w:rPr>
      <w:b/>
      <w:bCs/>
    </w:rPr>
  </w:style>
  <w:style w:type="character" w:customStyle="1" w:styleId="26">
    <w:name w:val="Основной текст 2 Знак"/>
    <w:basedOn w:val="a0"/>
    <w:link w:val="25"/>
    <w:uiPriority w:val="99"/>
    <w:semiHidden/>
    <w:rsid w:val="00A5740D"/>
    <w:rPr>
      <w:rFonts w:ascii="Arial" w:hAnsi="Arial" w:cs="Arial"/>
    </w:rPr>
  </w:style>
  <w:style w:type="paragraph" w:customStyle="1" w:styleId="Footer">
    <w:name w:val="Footer"/>
    <w:basedOn w:val="a"/>
    <w:link w:val="af5"/>
    <w:uiPriority w:val="99"/>
    <w:rsid w:val="00A5740D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f5">
    <w:name w:val="Нижний колонтитул Знак"/>
    <w:basedOn w:val="a0"/>
    <w:link w:val="Footer"/>
    <w:uiPriority w:val="99"/>
    <w:rsid w:val="00A5740D"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rsid w:val="00A5740D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A5740D"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rsid w:val="00A5740D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A5740D"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sid w:val="00A5740D"/>
    <w:rPr>
      <w:rFonts w:ascii="Arial" w:hAnsi="Arial" w:cs="Arial"/>
      <w:sz w:val="22"/>
      <w:szCs w:val="22"/>
      <w:lang w:val="ru-RU" w:eastAsia="ru-RU"/>
    </w:rPr>
  </w:style>
  <w:style w:type="paragraph" w:styleId="af6">
    <w:name w:val="Balloon Text"/>
    <w:basedOn w:val="a"/>
    <w:link w:val="af7"/>
    <w:uiPriority w:val="99"/>
    <w:semiHidden/>
    <w:rsid w:val="00A5740D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A5740D"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A5740D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f8">
    <w:name w:val="Strong"/>
    <w:basedOn w:val="a0"/>
    <w:uiPriority w:val="99"/>
    <w:qFormat/>
    <w:rsid w:val="00A5740D"/>
    <w:rPr>
      <w:rFonts w:cs="Times New Roman"/>
      <w:b/>
      <w:bCs/>
    </w:rPr>
  </w:style>
  <w:style w:type="table" w:styleId="af9">
    <w:name w:val="Table Grid"/>
    <w:basedOn w:val="a1"/>
    <w:uiPriority w:val="99"/>
    <w:rsid w:val="00A5740D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rsid w:val="00A5740D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A5740D"/>
    <w:pPr>
      <w:widowControl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A5740D"/>
    <w:pPr>
      <w:tabs>
        <w:tab w:val="num" w:pos="360"/>
      </w:tabs>
      <w:spacing w:after="160" w:line="240" w:lineRule="exact"/>
      <w:jc w:val="left"/>
    </w:pPr>
    <w:rPr>
      <w:sz w:val="24"/>
      <w:szCs w:val="24"/>
      <w:lang w:val="en-US"/>
    </w:rPr>
  </w:style>
  <w:style w:type="paragraph" w:customStyle="1" w:styleId="afb">
    <w:name w:val="Знак Знак Знак Знак"/>
    <w:basedOn w:val="a"/>
    <w:uiPriority w:val="99"/>
    <w:rsid w:val="00A5740D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c">
    <w:name w:val="List Paragraph"/>
    <w:basedOn w:val="a"/>
    <w:uiPriority w:val="34"/>
    <w:qFormat/>
    <w:rsid w:val="00A5740D"/>
    <w:pPr>
      <w:ind w:left="720"/>
      <w:jc w:val="left"/>
    </w:pPr>
    <w:rPr>
      <w:rFonts w:ascii="Calibri" w:hAnsi="Calibri" w:cs="Calibri"/>
      <w:lang w:eastAsia="en-US"/>
    </w:rPr>
  </w:style>
  <w:style w:type="paragraph" w:styleId="afd">
    <w:name w:val="Plain Text"/>
    <w:basedOn w:val="a"/>
    <w:link w:val="afe"/>
    <w:uiPriority w:val="99"/>
    <w:unhideWhenUsed/>
    <w:rsid w:val="00A5740D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e">
    <w:name w:val="Текст Знак"/>
    <w:basedOn w:val="a0"/>
    <w:link w:val="afd"/>
    <w:uiPriority w:val="99"/>
    <w:rsid w:val="00A5740D"/>
    <w:rPr>
      <w:rFonts w:ascii="Calibri" w:hAnsi="Calibri" w:cs="Times New Roman"/>
      <w:sz w:val="21"/>
      <w:szCs w:val="21"/>
      <w:lang w:eastAsia="en-US"/>
    </w:rPr>
  </w:style>
  <w:style w:type="paragraph" w:customStyle="1" w:styleId="Default">
    <w:name w:val="Default"/>
    <w:rsid w:val="00A5740D"/>
    <w:pPr>
      <w:spacing w:after="0" w:line="240" w:lineRule="auto"/>
    </w:pPr>
    <w:rPr>
      <w:color w:val="000000"/>
      <w:sz w:val="24"/>
      <w:szCs w:val="24"/>
      <w:lang w:eastAsia="en-US"/>
    </w:rPr>
  </w:style>
  <w:style w:type="paragraph" w:styleId="aa">
    <w:name w:val="footnote text"/>
    <w:basedOn w:val="a"/>
    <w:link w:val="aff"/>
    <w:uiPriority w:val="99"/>
    <w:semiHidden/>
    <w:unhideWhenUsed/>
    <w:rsid w:val="00A5740D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f">
    <w:name w:val="Текст сноски Знак"/>
    <w:basedOn w:val="a0"/>
    <w:link w:val="aa"/>
    <w:uiPriority w:val="99"/>
    <w:semiHidden/>
    <w:rsid w:val="00A5740D"/>
    <w:rPr>
      <w:rFonts w:ascii="Calibri" w:hAnsi="Calibri" w:cs="Times New Roman"/>
      <w:sz w:val="20"/>
      <w:szCs w:val="20"/>
      <w:lang w:eastAsia="en-US"/>
    </w:rPr>
  </w:style>
  <w:style w:type="character" w:styleId="aff0">
    <w:name w:val="footnote reference"/>
    <w:basedOn w:val="a0"/>
    <w:uiPriority w:val="99"/>
    <w:semiHidden/>
    <w:unhideWhenUsed/>
    <w:rsid w:val="00A5740D"/>
    <w:rPr>
      <w:rFonts w:cs="Times New Roman"/>
      <w:vertAlign w:val="superscript"/>
    </w:rPr>
  </w:style>
  <w:style w:type="paragraph" w:customStyle="1" w:styleId="TableParagraph">
    <w:name w:val="Table Paragraph"/>
    <w:basedOn w:val="a"/>
    <w:uiPriority w:val="1"/>
    <w:qFormat/>
    <w:rsid w:val="00A5740D"/>
    <w:pPr>
      <w:widowControl w:val="0"/>
      <w:jc w:val="left"/>
    </w:pPr>
    <w:rPr>
      <w:rFonts w:ascii="Calibri" w:hAnsi="Calibri" w:cs="Times New Roman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ducenter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40510F-F538-4738-9923-BDC9CF5028B5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customXml/itemProps2.xml><?xml version="1.0" encoding="utf-8"?>
<ds:datastoreItem xmlns:ds="http://schemas.openxmlformats.org/officeDocument/2006/customXml" ds:itemID="{A93D526B-5880-44E0-8D61-77FA26996E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B1AE17-FD7E-45DA-8A73-B1EBAA489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BDF2B5-0A38-40A7-8E7F-A8E322C17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603</Words>
  <Characters>3443</Characters>
  <Application>Microsoft Office Word</Application>
  <DocSecurity>0</DocSecurity>
  <Lines>28</Lines>
  <Paragraphs>8</Paragraphs>
  <ScaleCrop>false</ScaleCrop>
  <Company>xxx</Company>
  <LinksUpToDate>false</LinksUpToDate>
  <CharactersWithSpaces>4038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Мария Иванова</dc:creator>
  <cp:keywords/>
  <dc:description/>
  <cp:lastModifiedBy>Анастасия</cp:lastModifiedBy>
  <cp:revision>4</cp:revision>
  <dcterms:created xsi:type="dcterms:W3CDTF">2026-10-02T10:12:00Z</dcterms:created>
  <dcterms:modified xsi:type="dcterms:W3CDTF">2026-10-02T11:34:00Z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